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47252" w14:textId="77777777" w:rsidR="00336DAE" w:rsidRDefault="00336DAE" w:rsidP="009D6EC7">
      <w:pPr>
        <w:rPr>
          <w:rFonts w:ascii="Calibri" w:hAnsi="Calibri" w:cs="Calibri"/>
        </w:rPr>
      </w:pPr>
    </w:p>
    <w:p w14:paraId="07604CB8" w14:textId="66930003" w:rsidR="00336DAE" w:rsidRDefault="00336DAE" w:rsidP="00336DAE">
      <w:pPr>
        <w:jc w:val="center"/>
        <w:rPr>
          <w:rFonts w:ascii="Calibri" w:hAnsi="Calibri" w:cs="Calibri"/>
        </w:rPr>
      </w:pPr>
      <w:r>
        <w:rPr>
          <w:rFonts w:ascii="Times New Roman"/>
          <w:noProof/>
        </w:rPr>
        <w:drawing>
          <wp:inline distT="0" distB="0" distL="0" distR="0" wp14:anchorId="310A139A" wp14:editId="653FD3EB">
            <wp:extent cx="2640194" cy="388620"/>
            <wp:effectExtent l="0" t="0" r="825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50704" cy="390167"/>
                    </a:xfrm>
                    <a:prstGeom prst="rect">
                      <a:avLst/>
                    </a:prstGeom>
                  </pic:spPr>
                </pic:pic>
              </a:graphicData>
            </a:graphic>
          </wp:inline>
        </w:drawing>
      </w:r>
    </w:p>
    <w:p w14:paraId="2967BC1E" w14:textId="024569BD" w:rsidR="00AE492A" w:rsidRPr="00702165" w:rsidRDefault="007E5FB7" w:rsidP="00336DAE">
      <w:pPr>
        <w:jc w:val="center"/>
        <w:rPr>
          <w:rFonts w:ascii="Calibri" w:hAnsi="Calibri" w:cs="Calibri"/>
          <w:b/>
          <w:bCs/>
          <w:sz w:val="24"/>
          <w:szCs w:val="24"/>
        </w:rPr>
      </w:pPr>
      <w:r w:rsidRPr="00702165">
        <w:rPr>
          <w:rFonts w:ascii="Calibri" w:hAnsi="Calibri" w:cs="Calibri"/>
          <w:b/>
          <w:bCs/>
          <w:sz w:val="24"/>
          <w:szCs w:val="24"/>
        </w:rPr>
        <w:t xml:space="preserve">Land Use Permit Application for </w:t>
      </w:r>
      <w:r w:rsidR="002B5014">
        <w:rPr>
          <w:rFonts w:ascii="Calibri" w:hAnsi="Calibri" w:cs="Calibri"/>
          <w:b/>
          <w:bCs/>
          <w:sz w:val="24"/>
          <w:szCs w:val="24"/>
        </w:rPr>
        <w:t xml:space="preserve">Small Transit </w:t>
      </w:r>
      <w:r w:rsidR="0045030E">
        <w:rPr>
          <w:rFonts w:ascii="Calibri" w:hAnsi="Calibri" w:cs="Calibri"/>
          <w:b/>
          <w:bCs/>
          <w:sz w:val="24"/>
          <w:szCs w:val="24"/>
        </w:rPr>
        <w:t>Shelter</w:t>
      </w:r>
    </w:p>
    <w:p w14:paraId="21BFE96D" w14:textId="5193ABC7" w:rsidR="008829B9" w:rsidRPr="00702165" w:rsidRDefault="008829B9" w:rsidP="00336DAE">
      <w:pPr>
        <w:jc w:val="center"/>
        <w:rPr>
          <w:rFonts w:ascii="Calibri" w:hAnsi="Calibri" w:cs="Calibri"/>
          <w:b/>
          <w:bCs/>
          <w:sz w:val="24"/>
          <w:szCs w:val="24"/>
        </w:rPr>
      </w:pPr>
      <w:r w:rsidRPr="00702165">
        <w:rPr>
          <w:rFonts w:ascii="Calibri" w:hAnsi="Calibri" w:cs="Calibri"/>
          <w:b/>
          <w:bCs/>
          <w:sz w:val="24"/>
          <w:szCs w:val="24"/>
          <w:u w:val="single"/>
        </w:rPr>
        <w:t>LUP-</w:t>
      </w:r>
      <w:r w:rsidR="0045030E">
        <w:rPr>
          <w:rFonts w:ascii="Calibri" w:hAnsi="Calibri" w:cs="Calibri"/>
          <w:b/>
          <w:bCs/>
          <w:sz w:val="24"/>
          <w:szCs w:val="24"/>
          <w:u w:val="single"/>
        </w:rPr>
        <w:t>STS</w:t>
      </w:r>
    </w:p>
    <w:p w14:paraId="4F57BD4B" w14:textId="4EA398B6" w:rsidR="00BF7D65" w:rsidRPr="00B144DB" w:rsidRDefault="00BF7D65">
      <w:pPr>
        <w:rPr>
          <w:rFonts w:cs="Calibri"/>
        </w:rPr>
      </w:pPr>
      <w:r w:rsidRPr="00BF7D65">
        <w:rPr>
          <w:rFonts w:cs="Calibri"/>
        </w:rPr>
        <w:t>The installation of a Small Transit Shelter on state-maintained highway right-of-way is authorized under Section</w:t>
      </w:r>
      <w:r w:rsidRPr="00BF7D65">
        <w:rPr>
          <w:rFonts w:cs="Calibri"/>
          <w:b/>
          <w:u w:val="single"/>
        </w:rPr>
        <w:t xml:space="preserve"> </w:t>
      </w:r>
      <w:hyperlink r:id="rId8" w:history="1">
        <w:r w:rsidRPr="00BF7D65">
          <w:rPr>
            <w:rStyle w:val="Hyperlink"/>
            <w:rFonts w:cs="Calibri"/>
            <w:b/>
          </w:rPr>
          <w:t>24VAC30-151-630</w:t>
        </w:r>
      </w:hyperlink>
      <w:r w:rsidRPr="00BF7D65">
        <w:rPr>
          <w:rFonts w:cs="Calibri"/>
          <w:b/>
        </w:rPr>
        <w:t xml:space="preserve"> </w:t>
      </w:r>
      <w:r w:rsidRPr="00BF7D65">
        <w:rPr>
          <w:rFonts w:cs="Calibri"/>
        </w:rPr>
        <w:t xml:space="preserve">of the Land Use Permit Regulations. VDOT's authority to make regulations concerning the use of highways is generally provided in </w:t>
      </w:r>
      <w:r w:rsidRPr="009434B1">
        <w:rPr>
          <w:rFonts w:cs="Calibri"/>
          <w:color w:val="0F4761" w:themeColor="accent1" w:themeShade="BF"/>
        </w:rPr>
        <w:t>§</w:t>
      </w:r>
      <w:hyperlink r:id="rId9">
        <w:r w:rsidRPr="00BF7D65">
          <w:rPr>
            <w:rStyle w:val="Hyperlink"/>
            <w:rFonts w:cs="Calibri"/>
            <w:b/>
          </w:rPr>
          <w:t>33.2-210</w:t>
        </w:r>
      </w:hyperlink>
      <w:r w:rsidRPr="00BF7D65">
        <w:rPr>
          <w:rFonts w:cs="Calibri"/>
          <w:b/>
        </w:rPr>
        <w:t xml:space="preserve"> </w:t>
      </w:r>
      <w:r w:rsidRPr="00BF7D65">
        <w:rPr>
          <w:rFonts w:cs="Calibri"/>
        </w:rPr>
        <w:t>of the Code of Virginia.</w:t>
      </w:r>
    </w:p>
    <w:p w14:paraId="5C2495CC" w14:textId="271970C9" w:rsidR="00743EF6" w:rsidRPr="00743EF6" w:rsidRDefault="00743EF6">
      <w:pPr>
        <w:rPr>
          <w:rFonts w:ascii="Calibri" w:hAnsi="Calibri" w:cs="Calibri"/>
        </w:rPr>
      </w:pPr>
      <w:r w:rsidRPr="00B144DB">
        <w:rPr>
          <w:rFonts w:cs="Calibri"/>
        </w:rPr>
        <w:t xml:space="preserve">I the undersigned hereby acknowledge that I am fully cognizant of and, in my individual capacity and as a duly authorized representative of the entity applying for this permit, agree to all of the following requirements associated with the issuance of a single use permit authorizing </w:t>
      </w:r>
      <w:r w:rsidR="00000EF2" w:rsidRPr="00B144DB">
        <w:rPr>
          <w:rFonts w:cs="Calibri"/>
        </w:rPr>
        <w:t xml:space="preserve">work within the state-maintained right-of-way </w:t>
      </w:r>
      <w:r w:rsidRPr="00B144DB">
        <w:rPr>
          <w:rFonts w:cs="Calibri"/>
        </w:rPr>
        <w:t xml:space="preserve">associated with the </w:t>
      </w:r>
      <w:r w:rsidR="00B71709">
        <w:rPr>
          <w:rFonts w:cs="Calibri"/>
        </w:rPr>
        <w:t>installation of a Small Transit Shelter</w:t>
      </w:r>
      <w:r w:rsidR="0045466B" w:rsidRPr="00B144DB">
        <w:rPr>
          <w:rFonts w:cs="Calibri"/>
        </w:rPr>
        <w:t>.</w:t>
      </w:r>
    </w:p>
    <w:p w14:paraId="605AF5C3" w14:textId="2B4D0F2F" w:rsidR="00743EF6" w:rsidRDefault="00743EF6" w:rsidP="00743EF6">
      <w:pPr>
        <w:jc w:val="center"/>
        <w:rPr>
          <w:rFonts w:ascii="Calibri" w:hAnsi="Calibri" w:cs="Calibri"/>
        </w:rPr>
      </w:pPr>
      <w:r w:rsidRPr="00743EF6">
        <w:rPr>
          <w:rFonts w:ascii="Calibri" w:hAnsi="Calibri" w:cs="Calibri"/>
          <w:u w:val="single"/>
        </w:rPr>
        <w:t>Type o</w:t>
      </w:r>
      <w:r w:rsidR="00CB249F">
        <w:rPr>
          <w:rFonts w:ascii="Calibri" w:hAnsi="Calibri" w:cs="Calibri"/>
          <w:u w:val="single"/>
        </w:rPr>
        <w:t>r</w:t>
      </w:r>
      <w:r w:rsidRPr="00743EF6">
        <w:rPr>
          <w:rFonts w:ascii="Calibri" w:hAnsi="Calibri" w:cs="Calibri"/>
          <w:u w:val="single"/>
        </w:rPr>
        <w:t xml:space="preserve"> Print Clearly</w:t>
      </w:r>
    </w:p>
    <w:p w14:paraId="0FD07331" w14:textId="41C78AD7" w:rsidR="00743EF6" w:rsidRDefault="00743EF6" w:rsidP="00743EF6">
      <w:pPr>
        <w:rPr>
          <w:rFonts w:ascii="Calibri" w:hAnsi="Calibri" w:cs="Calibri"/>
        </w:rPr>
      </w:pPr>
      <w:r>
        <w:rPr>
          <w:rFonts w:ascii="Calibri" w:hAnsi="Calibri" w:cs="Calibri"/>
        </w:rPr>
        <w:t>Name of Applicant: _______________________________________________________________</w:t>
      </w:r>
    </w:p>
    <w:p w14:paraId="4D00730E" w14:textId="1B07CEAF" w:rsidR="00743EF6" w:rsidRDefault="00743EF6" w:rsidP="00743EF6">
      <w:pPr>
        <w:rPr>
          <w:rFonts w:ascii="Calibri" w:hAnsi="Calibri" w:cs="Calibri"/>
        </w:rPr>
      </w:pPr>
      <w:r>
        <w:rPr>
          <w:rFonts w:ascii="Calibri" w:hAnsi="Calibri" w:cs="Calibri"/>
        </w:rPr>
        <w:t>Applicant’s Tax ID No.: _____________________________________________________________</w:t>
      </w:r>
    </w:p>
    <w:p w14:paraId="7071BA8B" w14:textId="0CB9BB0E" w:rsidR="00743EF6" w:rsidRPr="00743EF6" w:rsidRDefault="00743EF6" w:rsidP="00743EF6">
      <w:pPr>
        <w:rPr>
          <w:rFonts w:ascii="Calibri" w:hAnsi="Calibri" w:cs="Calibri"/>
        </w:rPr>
      </w:pPr>
      <w:r>
        <w:rPr>
          <w:rFonts w:ascii="Calibri" w:hAnsi="Calibri" w:cs="Calibri"/>
        </w:rPr>
        <w:t>Applicant’s Mailing Address: ________________________________________________________</w:t>
      </w:r>
    </w:p>
    <w:p w14:paraId="5ED3E23B" w14:textId="4595852D" w:rsidR="00743EF6" w:rsidRDefault="009434B1">
      <w:r>
        <w:t>City:</w:t>
      </w:r>
      <w:r w:rsidR="00743EF6">
        <w:t xml:space="preserve"> _____________________________________ State: _________</w:t>
      </w:r>
      <w:r>
        <w:t>_ Zip</w:t>
      </w:r>
      <w:r w:rsidR="00743EF6">
        <w:t xml:space="preserve"> Code: _________________</w:t>
      </w:r>
    </w:p>
    <w:p w14:paraId="6EBB8D0B" w14:textId="323535BB" w:rsidR="00743EF6" w:rsidRDefault="00743EF6">
      <w:r>
        <w:t xml:space="preserve">Primary Telephone No.: </w:t>
      </w:r>
      <w:r w:rsidR="00707A65">
        <w:t>__________________</w:t>
      </w:r>
      <w:r w:rsidR="009434B1">
        <w:t>_ 24</w:t>
      </w:r>
      <w:r>
        <w:t xml:space="preserve">-Hour Telephone No.: </w:t>
      </w:r>
      <w:r w:rsidR="00707A65">
        <w:t>_____________________</w:t>
      </w:r>
    </w:p>
    <w:p w14:paraId="5368B6B9" w14:textId="55D3C2E9" w:rsidR="00D63F2C" w:rsidRDefault="00D63F2C">
      <w:r>
        <w:t>Email Address: ________________________________________________________________________</w:t>
      </w:r>
    </w:p>
    <w:p w14:paraId="236642B5" w14:textId="77777777" w:rsidR="000A6015" w:rsidRDefault="000A6015"/>
    <w:p w14:paraId="3A06145E" w14:textId="30D9183D" w:rsidR="00DA4C71" w:rsidRDefault="00DA4C71">
      <w:r>
        <w:t>Name of Agent</w:t>
      </w:r>
      <w:r w:rsidR="00EF00A6">
        <w:t>: ___________________________________________________________</w:t>
      </w:r>
      <w:r w:rsidR="007D1E89">
        <w:t>_</w:t>
      </w:r>
      <w:r w:rsidR="00931A02">
        <w:t>___________</w:t>
      </w:r>
    </w:p>
    <w:p w14:paraId="59F990AC" w14:textId="6BA9AA5E" w:rsidR="00EF00A6" w:rsidRDefault="00EF00A6">
      <w:r>
        <w:t>Agent</w:t>
      </w:r>
      <w:r w:rsidR="00F34940">
        <w:t>’s</w:t>
      </w:r>
      <w:r>
        <w:t xml:space="preserve"> Tax ID No.: </w:t>
      </w:r>
      <w:r w:rsidR="007D1E89">
        <w:t>___________________________________________________________</w:t>
      </w:r>
      <w:r w:rsidR="00931A02">
        <w:t>_________</w:t>
      </w:r>
    </w:p>
    <w:p w14:paraId="62CF5B26" w14:textId="40E95C85" w:rsidR="007D1E89" w:rsidRDefault="007D1E89">
      <w:r>
        <w:t>Agent</w:t>
      </w:r>
      <w:r w:rsidR="00F34940">
        <w:t>’s</w:t>
      </w:r>
      <w:r>
        <w:t xml:space="preserve"> Mailing Address</w:t>
      </w:r>
      <w:r w:rsidR="00A51180">
        <w:t>: ____________________________________________________</w:t>
      </w:r>
      <w:r w:rsidR="00931A02">
        <w:t>__________</w:t>
      </w:r>
    </w:p>
    <w:p w14:paraId="7BCC0AAA" w14:textId="0CC66D6E" w:rsidR="00A51180" w:rsidRDefault="00A51180">
      <w:r>
        <w:t>City: ____________________________ State: ________________ Zip code: _____________________</w:t>
      </w:r>
    </w:p>
    <w:p w14:paraId="73994B82" w14:textId="52684B6F" w:rsidR="00ED6148" w:rsidRDefault="00ED6148" w:rsidP="00ED6148">
      <w:r>
        <w:t xml:space="preserve">Primary Telephone No.: </w:t>
      </w:r>
      <w:r w:rsidR="001B2FCB">
        <w:t>___________________</w:t>
      </w:r>
      <w:r w:rsidR="009434B1">
        <w:t>_ 24</w:t>
      </w:r>
      <w:r>
        <w:t xml:space="preserve">-Hour Telephone No.: </w:t>
      </w:r>
      <w:r w:rsidR="001B2FCB">
        <w:t>____________________</w:t>
      </w:r>
    </w:p>
    <w:p w14:paraId="2B218658" w14:textId="6479B9A4" w:rsidR="00743EF6" w:rsidRDefault="00D63F2C">
      <w:r>
        <w:t>Email Address: ________________________________________________________________________</w:t>
      </w:r>
    </w:p>
    <w:p w14:paraId="6729D2B3" w14:textId="77777777" w:rsidR="000D660A" w:rsidRDefault="000D660A"/>
    <w:p w14:paraId="2E8EB939" w14:textId="77777777" w:rsidR="00E22BA0" w:rsidRDefault="00E22BA0">
      <w:r>
        <w:br w:type="page"/>
      </w:r>
    </w:p>
    <w:p w14:paraId="6B24A720" w14:textId="5EC1094D" w:rsidR="000D660A" w:rsidRDefault="000D660A">
      <w:r>
        <w:lastRenderedPageBreak/>
        <w:t>Work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67D2">
        <w:t>____________________________________________________________________________________________</w:t>
      </w:r>
    </w:p>
    <w:p w14:paraId="24423B2C" w14:textId="0F765DCF" w:rsidR="0098061F" w:rsidRDefault="0098061F">
      <w:r>
        <w:t xml:space="preserve">Locality: </w:t>
      </w:r>
      <w:r w:rsidR="002E1D63">
        <w:t>_________________________________________________________________________________</w:t>
      </w:r>
    </w:p>
    <w:p w14:paraId="5FBA297C" w14:textId="6F84B70E" w:rsidR="002E1D63" w:rsidRDefault="002E1D63">
      <w:r>
        <w:t>Route Name and Number: ________________________________________________________________</w:t>
      </w:r>
    </w:p>
    <w:p w14:paraId="416D630F" w14:textId="447F3C39" w:rsidR="002E1D63" w:rsidRDefault="000A270C">
      <w:r>
        <w:t>Route to: ____________________________ Route from: ________________________________________</w:t>
      </w:r>
    </w:p>
    <w:p w14:paraId="18590EE6" w14:textId="7D6A6C50" w:rsidR="000A270C" w:rsidRDefault="009C1BC8">
      <w:r>
        <w:t>Coordinates: Latitude __________________________</w:t>
      </w:r>
      <w:r w:rsidR="009434B1">
        <w:t>_ Longitude</w:t>
      </w:r>
      <w:r>
        <w:t xml:space="preserve"> ______________________________</w:t>
      </w:r>
    </w:p>
    <w:p w14:paraId="53A3211E" w14:textId="39955A36" w:rsidR="00FA7FEE" w:rsidRDefault="00FA7FEE">
      <w:r>
        <w:t xml:space="preserve">Name of Applicant’s Duly Authorized Representative: </w:t>
      </w:r>
      <w:r w:rsidR="00023C21">
        <w:t>_____________________________________</w:t>
      </w:r>
    </w:p>
    <w:p w14:paraId="53007B77" w14:textId="47C33AA7" w:rsidR="00023C21" w:rsidRDefault="00023C21">
      <w:r>
        <w:t>Representative’s Title: __________________________________________________________________</w:t>
      </w:r>
    </w:p>
    <w:p w14:paraId="4823BBC8" w14:textId="4F7A3032" w:rsidR="00023C21" w:rsidRDefault="00023C21">
      <w:r>
        <w:t>Representative's Signature: _____________________________________________________________</w:t>
      </w:r>
    </w:p>
    <w:p w14:paraId="2AEE0B6E" w14:textId="73BD8A0A" w:rsidR="00023C21" w:rsidRDefault="00023C21">
      <w:r>
        <w:t>Name of Agent’s</w:t>
      </w:r>
      <w:r w:rsidR="00931A02">
        <w:t xml:space="preserve"> Duly Authorized Representative: _________________________________________</w:t>
      </w:r>
    </w:p>
    <w:p w14:paraId="385D8DDE" w14:textId="7E20E83C" w:rsidR="00F34940" w:rsidRDefault="00012536">
      <w:r>
        <w:t>Agent’s Title: __________________________________________________________________________</w:t>
      </w:r>
      <w:r w:rsidR="00593BAD">
        <w:t>_</w:t>
      </w:r>
    </w:p>
    <w:p w14:paraId="46918EB6" w14:textId="5C748BB8" w:rsidR="00012536" w:rsidRDefault="00593BAD">
      <w:r>
        <w:t>Agent’s Signature: ______________________________________________________________________</w:t>
      </w:r>
    </w:p>
    <w:p w14:paraId="0E4CF7A2" w14:textId="77777777" w:rsidR="008415FB" w:rsidRDefault="008415FB"/>
    <w:p w14:paraId="2BA2FAFD" w14:textId="77777777" w:rsidR="009434B1" w:rsidRPr="00BD7358" w:rsidRDefault="009434B1" w:rsidP="009434B1">
      <w:pPr>
        <w:rPr>
          <w:b/>
          <w:bCs/>
        </w:rPr>
      </w:pPr>
      <w:r w:rsidRPr="00BD7358">
        <w:rPr>
          <w:b/>
          <w:bCs/>
          <w:u w:val="single"/>
        </w:rPr>
        <w:t>VDOT Land Use Permit Required by Law</w:t>
      </w:r>
    </w:p>
    <w:p w14:paraId="2683802C" w14:textId="77777777" w:rsidR="009434B1" w:rsidRPr="009D28AD" w:rsidRDefault="009434B1" w:rsidP="009434B1">
      <w:pPr>
        <w:pStyle w:val="BodyText"/>
        <w:spacing w:before="183" w:line="259" w:lineRule="auto"/>
        <w:ind w:right="20"/>
        <w:rPr>
          <w:rFonts w:asciiTheme="minorHAnsi" w:hAnsiTheme="minorHAnsi"/>
          <w:sz w:val="22"/>
          <w:szCs w:val="22"/>
        </w:rPr>
      </w:pPr>
      <w:r w:rsidRPr="009D28AD">
        <w:rPr>
          <w:rFonts w:asciiTheme="minorHAnsi" w:hAnsiTheme="minorHAnsi" w:cstheme="minorHAnsi"/>
          <w:w w:val="105"/>
          <w:sz w:val="22"/>
          <w:szCs w:val="22"/>
        </w:rPr>
        <w:t>The General Rules and Regulations of the Commonwealth Transportation Board provide that no work, occupancy, or non-transportation uses</w:t>
      </w:r>
      <w:r w:rsidRPr="009D28AD">
        <w:rPr>
          <w:rFonts w:asciiTheme="minorHAnsi" w:hAnsiTheme="minorHAnsi" w:cstheme="minorHAnsi"/>
          <w:spacing w:val="-3"/>
          <w:w w:val="105"/>
          <w:sz w:val="22"/>
          <w:szCs w:val="22"/>
        </w:rPr>
        <w:t xml:space="preserve"> </w:t>
      </w:r>
      <w:r w:rsidRPr="009D28AD">
        <w:rPr>
          <w:rFonts w:asciiTheme="minorHAnsi" w:hAnsiTheme="minorHAnsi" w:cstheme="minorHAnsi"/>
          <w:w w:val="105"/>
          <w:sz w:val="22"/>
          <w:szCs w:val="22"/>
        </w:rPr>
        <w:t>of</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any</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nature</w:t>
      </w:r>
      <w:r w:rsidRPr="009D28AD">
        <w:rPr>
          <w:rFonts w:asciiTheme="minorHAnsi" w:hAnsiTheme="minorHAnsi" w:cstheme="minorHAnsi"/>
          <w:spacing w:val="-4"/>
          <w:w w:val="105"/>
          <w:sz w:val="22"/>
          <w:szCs w:val="22"/>
        </w:rPr>
        <w:t xml:space="preserve"> </w:t>
      </w:r>
      <w:r w:rsidRPr="009D28AD">
        <w:rPr>
          <w:rFonts w:asciiTheme="minorHAnsi" w:hAnsiTheme="minorHAnsi" w:cstheme="minorHAnsi"/>
          <w:w w:val="105"/>
          <w:sz w:val="22"/>
          <w:szCs w:val="22"/>
        </w:rPr>
        <w:t>may</w:t>
      </w:r>
      <w:r w:rsidRPr="009D28AD">
        <w:rPr>
          <w:rFonts w:asciiTheme="minorHAnsi" w:hAnsiTheme="minorHAnsi" w:cstheme="minorHAnsi"/>
          <w:spacing w:val="-3"/>
          <w:w w:val="105"/>
          <w:sz w:val="22"/>
          <w:szCs w:val="22"/>
        </w:rPr>
        <w:t xml:space="preserve"> </w:t>
      </w:r>
      <w:r w:rsidRPr="009D28AD">
        <w:rPr>
          <w:rFonts w:asciiTheme="minorHAnsi" w:hAnsiTheme="minorHAnsi" w:cstheme="minorHAnsi"/>
          <w:w w:val="105"/>
          <w:sz w:val="22"/>
          <w:szCs w:val="22"/>
        </w:rPr>
        <w:t>be</w:t>
      </w:r>
      <w:r w:rsidRPr="009D28AD">
        <w:rPr>
          <w:rFonts w:asciiTheme="minorHAnsi" w:hAnsiTheme="minorHAnsi" w:cstheme="minorHAnsi"/>
          <w:spacing w:val="-2"/>
          <w:w w:val="105"/>
          <w:sz w:val="22"/>
          <w:szCs w:val="22"/>
        </w:rPr>
        <w:t xml:space="preserve"> allowed or </w:t>
      </w:r>
      <w:r w:rsidRPr="009D28AD">
        <w:rPr>
          <w:rFonts w:asciiTheme="minorHAnsi" w:hAnsiTheme="minorHAnsi" w:cstheme="minorHAnsi"/>
          <w:w w:val="105"/>
          <w:sz w:val="22"/>
          <w:szCs w:val="22"/>
        </w:rPr>
        <w:t>performed</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on</w:t>
      </w:r>
      <w:r w:rsidRPr="009D28AD">
        <w:rPr>
          <w:rFonts w:asciiTheme="minorHAnsi" w:hAnsiTheme="minorHAnsi" w:cstheme="minorHAnsi"/>
          <w:spacing w:val="-2"/>
          <w:w w:val="105"/>
          <w:sz w:val="22"/>
          <w:szCs w:val="22"/>
        </w:rPr>
        <w:t xml:space="preserve"> the system of state highways or </w:t>
      </w:r>
      <w:r w:rsidRPr="009D28AD">
        <w:rPr>
          <w:rFonts w:asciiTheme="minorHAnsi" w:hAnsiTheme="minorHAnsi" w:cstheme="minorHAnsi"/>
          <w:w w:val="105"/>
          <w:sz w:val="22"/>
          <w:szCs w:val="22"/>
        </w:rPr>
        <w:t>any</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real</w:t>
      </w:r>
      <w:r w:rsidRPr="009D28AD">
        <w:rPr>
          <w:rFonts w:asciiTheme="minorHAnsi" w:hAnsiTheme="minorHAnsi" w:cstheme="minorHAnsi"/>
          <w:spacing w:val="-1"/>
          <w:w w:val="105"/>
          <w:sz w:val="22"/>
          <w:szCs w:val="22"/>
        </w:rPr>
        <w:t xml:space="preserve"> </w:t>
      </w:r>
      <w:r w:rsidRPr="009D28AD">
        <w:rPr>
          <w:rFonts w:asciiTheme="minorHAnsi" w:hAnsiTheme="minorHAnsi" w:cstheme="minorHAnsi"/>
          <w:w w:val="105"/>
          <w:sz w:val="22"/>
          <w:szCs w:val="22"/>
        </w:rPr>
        <w:t>property under</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the</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ownership,</w:t>
      </w:r>
      <w:r w:rsidRPr="009D28AD">
        <w:rPr>
          <w:rFonts w:asciiTheme="minorHAnsi" w:hAnsiTheme="minorHAnsi" w:cstheme="minorHAnsi"/>
          <w:spacing w:val="-1"/>
          <w:w w:val="105"/>
          <w:sz w:val="22"/>
          <w:szCs w:val="22"/>
        </w:rPr>
        <w:t xml:space="preserve"> </w:t>
      </w:r>
      <w:r w:rsidRPr="009D28AD">
        <w:rPr>
          <w:rFonts w:asciiTheme="minorHAnsi" w:hAnsiTheme="minorHAnsi" w:cstheme="minorHAnsi"/>
          <w:w w:val="105"/>
          <w:sz w:val="22"/>
          <w:szCs w:val="22"/>
        </w:rPr>
        <w:t>control,</w:t>
      </w:r>
      <w:r w:rsidRPr="009D28AD">
        <w:rPr>
          <w:rFonts w:asciiTheme="minorHAnsi" w:hAnsiTheme="minorHAnsi" w:cstheme="minorHAnsi"/>
          <w:spacing w:val="-4"/>
          <w:w w:val="105"/>
          <w:sz w:val="22"/>
          <w:szCs w:val="22"/>
        </w:rPr>
        <w:t xml:space="preserve"> </w:t>
      </w:r>
      <w:r w:rsidRPr="009D28AD">
        <w:rPr>
          <w:rFonts w:asciiTheme="minorHAnsi" w:hAnsiTheme="minorHAnsi" w:cstheme="minorHAnsi"/>
          <w:w w:val="105"/>
          <w:sz w:val="22"/>
          <w:szCs w:val="22"/>
        </w:rPr>
        <w:t>or jurisdiction</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of</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VDOT</w:t>
      </w:r>
      <w:r w:rsidRPr="009D28AD">
        <w:rPr>
          <w:rFonts w:asciiTheme="minorHAnsi" w:hAnsiTheme="minorHAnsi" w:cstheme="minorHAnsi"/>
          <w:spacing w:val="-7"/>
          <w:w w:val="105"/>
          <w:sz w:val="22"/>
          <w:szCs w:val="22"/>
        </w:rPr>
        <w:t xml:space="preserve"> </w:t>
      </w:r>
      <w:r w:rsidRPr="009D28AD">
        <w:rPr>
          <w:rFonts w:asciiTheme="minorHAnsi" w:hAnsiTheme="minorHAnsi" w:cstheme="minorHAnsi"/>
          <w:w w:val="105"/>
          <w:sz w:val="22"/>
          <w:szCs w:val="22"/>
        </w:rPr>
        <w:t>until</w:t>
      </w:r>
      <w:r w:rsidRPr="009D28AD">
        <w:rPr>
          <w:rFonts w:asciiTheme="minorHAnsi" w:hAnsiTheme="minorHAnsi" w:cstheme="minorHAnsi"/>
          <w:spacing w:val="-9"/>
          <w:w w:val="105"/>
          <w:sz w:val="22"/>
          <w:szCs w:val="22"/>
        </w:rPr>
        <w:t xml:space="preserve"> </w:t>
      </w:r>
      <w:r w:rsidRPr="009D28AD">
        <w:rPr>
          <w:rFonts w:asciiTheme="minorHAnsi" w:hAnsiTheme="minorHAnsi" w:cstheme="minorHAnsi"/>
          <w:w w:val="105"/>
          <w:sz w:val="22"/>
          <w:szCs w:val="22"/>
        </w:rPr>
        <w:t>written</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permission</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has</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been</w:t>
      </w:r>
      <w:r w:rsidRPr="009D28AD">
        <w:rPr>
          <w:rFonts w:asciiTheme="minorHAnsi" w:hAnsiTheme="minorHAnsi" w:cstheme="minorHAnsi"/>
          <w:spacing w:val="-6"/>
          <w:w w:val="105"/>
          <w:sz w:val="22"/>
          <w:szCs w:val="22"/>
        </w:rPr>
        <w:t xml:space="preserve"> </w:t>
      </w:r>
      <w:r w:rsidRPr="009D28AD">
        <w:rPr>
          <w:rFonts w:asciiTheme="minorHAnsi" w:hAnsiTheme="minorHAnsi" w:cstheme="minorHAnsi"/>
          <w:w w:val="105"/>
          <w:sz w:val="22"/>
          <w:szCs w:val="22"/>
        </w:rPr>
        <w:t>obtained</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from</w:t>
      </w:r>
      <w:r w:rsidRPr="009D28AD">
        <w:rPr>
          <w:rFonts w:asciiTheme="minorHAnsi" w:hAnsiTheme="minorHAnsi" w:cstheme="minorHAnsi"/>
          <w:spacing w:val="-10"/>
          <w:w w:val="105"/>
          <w:sz w:val="22"/>
          <w:szCs w:val="22"/>
        </w:rPr>
        <w:t xml:space="preserve"> </w:t>
      </w:r>
      <w:r w:rsidRPr="009D28AD">
        <w:rPr>
          <w:rFonts w:asciiTheme="minorHAnsi" w:hAnsiTheme="minorHAnsi" w:cstheme="minorHAnsi"/>
          <w:w w:val="105"/>
          <w:sz w:val="22"/>
          <w:szCs w:val="22"/>
        </w:rPr>
        <w:t>VDOT</w:t>
      </w:r>
      <w:r w:rsidRPr="009D28AD">
        <w:rPr>
          <w:rFonts w:asciiTheme="minorHAnsi" w:hAnsiTheme="minorHAnsi"/>
          <w:w w:val="105"/>
          <w:sz w:val="22"/>
          <w:szCs w:val="22"/>
        </w:rPr>
        <w:t>.</w:t>
      </w:r>
      <w:r w:rsidRPr="009D28AD">
        <w:rPr>
          <w:rFonts w:asciiTheme="minorHAnsi" w:hAnsiTheme="minorHAnsi"/>
          <w:spacing w:val="-10"/>
          <w:w w:val="105"/>
          <w:sz w:val="22"/>
          <w:szCs w:val="22"/>
        </w:rPr>
        <w:t xml:space="preserve"> </w:t>
      </w:r>
      <w:r w:rsidRPr="009D28AD">
        <w:rPr>
          <w:rFonts w:asciiTheme="minorHAnsi" w:hAnsiTheme="minorHAnsi"/>
          <w:w w:val="105"/>
          <w:sz w:val="22"/>
          <w:szCs w:val="22"/>
        </w:rPr>
        <w:t>Written</w:t>
      </w:r>
      <w:r w:rsidRPr="009D28AD">
        <w:rPr>
          <w:rFonts w:asciiTheme="minorHAnsi" w:hAnsiTheme="minorHAnsi"/>
          <w:spacing w:val="-8"/>
          <w:w w:val="105"/>
          <w:sz w:val="22"/>
          <w:szCs w:val="22"/>
        </w:rPr>
        <w:t xml:space="preserve"> </w:t>
      </w:r>
      <w:r w:rsidRPr="009D28AD">
        <w:rPr>
          <w:rFonts w:asciiTheme="minorHAnsi" w:hAnsiTheme="minorHAnsi"/>
          <w:w w:val="105"/>
          <w:sz w:val="22"/>
          <w:szCs w:val="22"/>
        </w:rPr>
        <w:t>permission</w:t>
      </w:r>
      <w:r w:rsidRPr="009D28AD">
        <w:rPr>
          <w:rFonts w:asciiTheme="minorHAnsi" w:hAnsiTheme="minorHAnsi"/>
          <w:spacing w:val="-8"/>
          <w:w w:val="105"/>
          <w:sz w:val="22"/>
          <w:szCs w:val="22"/>
        </w:rPr>
        <w:t xml:space="preserve"> </w:t>
      </w:r>
      <w:r w:rsidRPr="009D28AD">
        <w:rPr>
          <w:rFonts w:asciiTheme="minorHAnsi" w:hAnsiTheme="minorHAnsi"/>
          <w:w w:val="105"/>
          <w:sz w:val="22"/>
          <w:szCs w:val="22"/>
        </w:rPr>
        <w:t>is granted for the above-referenced activity through the issuance of a land use permit.</w:t>
      </w:r>
    </w:p>
    <w:p w14:paraId="1DD8DDAC" w14:textId="77777777" w:rsidR="009434B1" w:rsidRPr="009D28AD" w:rsidRDefault="009434B1" w:rsidP="009434B1">
      <w:pPr>
        <w:pStyle w:val="BodyText"/>
        <w:spacing w:before="162" w:line="261" w:lineRule="auto"/>
        <w:ind w:hanging="1"/>
        <w:rPr>
          <w:rFonts w:asciiTheme="minorHAnsi" w:hAnsiTheme="minorHAnsi"/>
          <w:sz w:val="22"/>
          <w:szCs w:val="22"/>
        </w:rPr>
      </w:pPr>
      <w:r w:rsidRPr="009D28AD">
        <w:rPr>
          <w:rFonts w:asciiTheme="minorHAnsi" w:hAnsiTheme="minorHAnsi"/>
          <w:w w:val="105"/>
          <w:sz w:val="22"/>
          <w:szCs w:val="22"/>
        </w:rPr>
        <w:t>By</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issuing</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a</w:t>
      </w:r>
      <w:r w:rsidRPr="009D28AD">
        <w:rPr>
          <w:rFonts w:asciiTheme="minorHAnsi" w:hAnsiTheme="minorHAnsi"/>
          <w:spacing w:val="-7"/>
          <w:w w:val="105"/>
          <w:sz w:val="22"/>
          <w:szCs w:val="22"/>
        </w:rPr>
        <w:t xml:space="preserve"> </w:t>
      </w:r>
      <w:r w:rsidRPr="009D28AD">
        <w:rPr>
          <w:rFonts w:asciiTheme="minorHAnsi" w:hAnsiTheme="minorHAnsi"/>
          <w:w w:val="105"/>
          <w:sz w:val="22"/>
          <w:szCs w:val="22"/>
        </w:rPr>
        <w:t>permit,</w:t>
      </w:r>
      <w:r w:rsidRPr="009D28AD">
        <w:rPr>
          <w:rFonts w:asciiTheme="minorHAnsi" w:hAnsiTheme="minorHAnsi"/>
          <w:spacing w:val="-5"/>
          <w:w w:val="105"/>
          <w:sz w:val="22"/>
          <w:szCs w:val="22"/>
        </w:rPr>
        <w:t xml:space="preserve"> </w:t>
      </w:r>
      <w:r w:rsidRPr="009D28AD">
        <w:rPr>
          <w:rFonts w:asciiTheme="minorHAnsi" w:hAnsiTheme="minorHAnsi"/>
          <w:w w:val="105"/>
          <w:sz w:val="22"/>
          <w:szCs w:val="22"/>
        </w:rPr>
        <w:t>VDOT</w:t>
      </w:r>
      <w:r w:rsidRPr="009D28AD">
        <w:rPr>
          <w:rFonts w:asciiTheme="minorHAnsi" w:hAnsiTheme="minorHAnsi"/>
          <w:spacing w:val="-7"/>
          <w:w w:val="105"/>
          <w:sz w:val="22"/>
          <w:szCs w:val="22"/>
        </w:rPr>
        <w:t xml:space="preserve"> </w:t>
      </w:r>
      <w:r w:rsidRPr="009D28AD">
        <w:rPr>
          <w:rFonts w:asciiTheme="minorHAnsi" w:hAnsiTheme="minorHAnsi"/>
          <w:w w:val="105"/>
          <w:sz w:val="22"/>
          <w:szCs w:val="22"/>
        </w:rPr>
        <w:t>is</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giving</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permission</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only</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for</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whatever</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rights</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it</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has</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in</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the</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right-of-way;</w:t>
      </w:r>
      <w:r w:rsidRPr="009D28AD">
        <w:rPr>
          <w:rFonts w:asciiTheme="minorHAnsi" w:hAnsiTheme="minorHAnsi"/>
          <w:spacing w:val="-5"/>
          <w:w w:val="105"/>
          <w:sz w:val="22"/>
          <w:szCs w:val="22"/>
        </w:rPr>
        <w:t xml:space="preserve"> </w:t>
      </w:r>
      <w:r w:rsidRPr="009D28AD">
        <w:rPr>
          <w:rFonts w:asciiTheme="minorHAnsi" w:hAnsiTheme="minorHAnsi"/>
          <w:w w:val="105"/>
          <w:sz w:val="22"/>
          <w:szCs w:val="22"/>
        </w:rPr>
        <w:t>the Permittee</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is</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solely</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responsible</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for</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determining all entities</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that may</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have</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a</w:t>
      </w:r>
      <w:r w:rsidRPr="009D28AD">
        <w:rPr>
          <w:rFonts w:asciiTheme="minorHAnsi" w:hAnsiTheme="minorHAnsi"/>
          <w:spacing w:val="-2"/>
          <w:w w:val="105"/>
          <w:sz w:val="22"/>
          <w:szCs w:val="22"/>
        </w:rPr>
        <w:t xml:space="preserve"> </w:t>
      </w:r>
      <w:r w:rsidRPr="009D28AD">
        <w:rPr>
          <w:rFonts w:asciiTheme="minorHAnsi" w:hAnsiTheme="minorHAnsi"/>
          <w:w w:val="105"/>
          <w:sz w:val="22"/>
          <w:szCs w:val="22"/>
        </w:rPr>
        <w:t>property interest of any kind or</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nature</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in</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the</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right-of-way</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and</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for</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obtaining</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permission</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from</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all</w:t>
      </w:r>
      <w:r w:rsidRPr="009D28AD">
        <w:rPr>
          <w:rFonts w:asciiTheme="minorHAnsi" w:hAnsiTheme="minorHAnsi"/>
          <w:spacing w:val="-2"/>
          <w:w w:val="105"/>
          <w:sz w:val="22"/>
          <w:szCs w:val="22"/>
        </w:rPr>
        <w:t xml:space="preserve"> </w:t>
      </w:r>
      <w:r w:rsidRPr="009D28AD">
        <w:rPr>
          <w:rFonts w:asciiTheme="minorHAnsi" w:hAnsiTheme="minorHAnsi"/>
          <w:w w:val="105"/>
          <w:sz w:val="22"/>
          <w:szCs w:val="22"/>
        </w:rPr>
        <w:t>such</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entities</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for the Permittee’s</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use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of</w:t>
      </w:r>
      <w:r w:rsidRPr="009D28AD">
        <w:rPr>
          <w:rFonts w:asciiTheme="minorHAnsi" w:hAnsiTheme="minorHAnsi"/>
          <w:spacing w:val="-10"/>
          <w:w w:val="105"/>
          <w:sz w:val="22"/>
          <w:szCs w:val="22"/>
        </w:rPr>
        <w:t xml:space="preserve"> </w:t>
      </w:r>
      <w:r w:rsidRPr="009D28AD">
        <w:rPr>
          <w:rFonts w:asciiTheme="minorHAnsi" w:hAnsiTheme="minorHAnsi"/>
          <w:w w:val="105"/>
          <w:sz w:val="22"/>
          <w:szCs w:val="22"/>
        </w:rPr>
        <w:t>the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right-of-way</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and</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shall</w:t>
      </w:r>
      <w:r w:rsidRPr="009D28AD">
        <w:rPr>
          <w:rFonts w:asciiTheme="minorHAnsi" w:hAnsiTheme="minorHAnsi"/>
          <w:spacing w:val="-10"/>
          <w:w w:val="105"/>
          <w:sz w:val="22"/>
          <w:szCs w:val="22"/>
        </w:rPr>
        <w:t xml:space="preserve"> </w:t>
      </w:r>
      <w:r w:rsidRPr="009D28AD">
        <w:rPr>
          <w:rFonts w:asciiTheme="minorHAnsi" w:hAnsiTheme="minorHAnsi"/>
          <w:w w:val="105"/>
          <w:sz w:val="22"/>
          <w:szCs w:val="22"/>
        </w:rPr>
        <w:t>be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solely</w:t>
      </w:r>
      <w:r w:rsidRPr="009D28AD">
        <w:rPr>
          <w:rFonts w:asciiTheme="minorHAnsi" w:hAnsiTheme="minorHAnsi"/>
          <w:spacing w:val="-7"/>
          <w:w w:val="105"/>
          <w:sz w:val="22"/>
          <w:szCs w:val="22"/>
        </w:rPr>
        <w:t xml:space="preserve"> </w:t>
      </w:r>
      <w:r w:rsidRPr="009D28AD">
        <w:rPr>
          <w:rFonts w:asciiTheme="minorHAnsi" w:hAnsiTheme="minorHAnsi"/>
          <w:w w:val="105"/>
          <w:sz w:val="22"/>
          <w:szCs w:val="22"/>
        </w:rPr>
        <w:t>liable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for</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any</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failure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to</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obtain</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from</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any</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and</w:t>
      </w:r>
      <w:r w:rsidRPr="009D28AD">
        <w:rPr>
          <w:rFonts w:asciiTheme="minorHAnsi" w:hAnsiTheme="minorHAnsi"/>
          <w:spacing w:val="-7"/>
          <w:w w:val="105"/>
          <w:sz w:val="22"/>
          <w:szCs w:val="22"/>
        </w:rPr>
        <w:t xml:space="preserve"> </w:t>
      </w:r>
      <w:r w:rsidRPr="009D28AD">
        <w:rPr>
          <w:rFonts w:asciiTheme="minorHAnsi" w:hAnsiTheme="minorHAnsi"/>
          <w:w w:val="105"/>
          <w:sz w:val="22"/>
          <w:szCs w:val="22"/>
        </w:rPr>
        <w:t>all entities having a property interest in the</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right-of-way.</w:t>
      </w:r>
    </w:p>
    <w:p w14:paraId="23BCC01D" w14:textId="77777777" w:rsidR="009434B1" w:rsidRPr="009D28AD" w:rsidRDefault="009434B1" w:rsidP="009434B1">
      <w:pPr>
        <w:pStyle w:val="BodyText"/>
        <w:spacing w:before="153" w:line="259" w:lineRule="auto"/>
        <w:rPr>
          <w:rFonts w:asciiTheme="minorHAnsi" w:hAnsiTheme="minorHAnsi"/>
          <w:sz w:val="22"/>
          <w:szCs w:val="22"/>
        </w:rPr>
      </w:pPr>
      <w:r w:rsidRPr="009D28AD">
        <w:rPr>
          <w:rFonts w:asciiTheme="minorHAnsi" w:hAnsiTheme="minorHAnsi" w:cstheme="minorHAnsi"/>
          <w:w w:val="105"/>
          <w:sz w:val="22"/>
          <w:szCs w:val="22"/>
        </w:rPr>
        <w:t xml:space="preserve">The Permittee will be civilly liable to the Commonwealth for all actual damage caused by a violation of the terms of the permit or </w:t>
      </w:r>
      <w:hyperlink r:id="rId10" w:history="1">
        <w:r w:rsidRPr="00454EC0">
          <w:rPr>
            <w:rStyle w:val="Hyperlink"/>
            <w:rFonts w:asciiTheme="minorHAnsi" w:hAnsiTheme="minorHAnsi" w:cstheme="minorHAnsi"/>
            <w:b/>
            <w:bCs/>
            <w:color w:val="156082" w:themeColor="accent1"/>
            <w:w w:val="105"/>
            <w:sz w:val="22"/>
            <w:szCs w:val="2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24VAC30-151-40.I.</w:t>
        </w:r>
      </w:hyperlink>
    </w:p>
    <w:p w14:paraId="00D7E322" w14:textId="77777777" w:rsidR="006E3BCF" w:rsidRDefault="006E3BCF" w:rsidP="00BD7358"/>
    <w:p w14:paraId="69710CE1" w14:textId="1FDB0BAB" w:rsidR="006E3BCF" w:rsidRPr="006E3BCF" w:rsidRDefault="006E3BCF" w:rsidP="006E3BCF">
      <w:pPr>
        <w:rPr>
          <w:b/>
        </w:rPr>
      </w:pPr>
      <w:r w:rsidRPr="006E3BCF">
        <w:rPr>
          <w:b/>
          <w:bCs/>
          <w:u w:val="single"/>
        </w:rPr>
        <w:t>Application Requirements</w:t>
      </w:r>
    </w:p>
    <w:p w14:paraId="1B42D522" w14:textId="28EE961C" w:rsidR="006E3BCF" w:rsidRPr="006E3BCF" w:rsidRDefault="006E3BCF" w:rsidP="006E3BCF">
      <w:r w:rsidRPr="006E3BCF">
        <w:t xml:space="preserve">Application for a land use permit authorizing the installation, repair or replacement of a Small Transit Shelter on state-maintained right-of way right-of-way shall be made through the local district permit office where the activity is to take place. A list of counties with their corresponding </w:t>
      </w:r>
      <w:r w:rsidRPr="006E3BCF">
        <w:lastRenderedPageBreak/>
        <w:t xml:space="preserve">VDOT district offices and contact information may be obtained at the following VDOT web site: </w:t>
      </w:r>
      <w:hyperlink r:id="rId11">
        <w:r w:rsidRPr="006E3BCF">
          <w:rPr>
            <w:rStyle w:val="Hyperlink"/>
            <w:b/>
            <w:bCs/>
          </w:rPr>
          <w:t>https://www.vdot.virginia.gov/about/districts/</w:t>
        </w:r>
      </w:hyperlink>
    </w:p>
    <w:p w14:paraId="424E06D9" w14:textId="4C237161" w:rsidR="006E3BCF" w:rsidRPr="006E3BCF" w:rsidRDefault="006E3BCF" w:rsidP="006E3BCF">
      <w:r w:rsidRPr="006E3BCF">
        <w:t>The issuance of a VDOT land use permit authorizing the installation of a transit shelter is contingent upon evaluation of an engineering analysis provided by the applicant and approval by the district administrator's designee. The district administrator’s designee receiving the request shall coordinate review and approval of the request with all appropriate VDOT personnel.</w:t>
      </w:r>
    </w:p>
    <w:p w14:paraId="57D3D059" w14:textId="0613E585" w:rsidR="006E3BCF" w:rsidRPr="006E3BCF" w:rsidRDefault="006E3BCF" w:rsidP="006E3BCF">
      <w:r w:rsidRPr="006E3BCF">
        <w:t>Permit applications must be accompanied by documentation indicating the issuance of all required approvals and permissions from the locality where the activity is to occur and any other state or a federal agency having jurisdictional authority.</w:t>
      </w:r>
    </w:p>
    <w:p w14:paraId="5EEB0EC1" w14:textId="087A81F6" w:rsidR="006E3BCF" w:rsidRPr="006E3BCF" w:rsidRDefault="006E3BCF" w:rsidP="00D0751B">
      <w:r w:rsidRPr="006E3BCF">
        <w:t>The forms below will be required to be submitted as part of the application request for a LUP-STS:</w:t>
      </w:r>
    </w:p>
    <w:p w14:paraId="7AA1F4D3" w14:textId="77777777" w:rsidR="006E3BCF" w:rsidRPr="006E3BCF" w:rsidRDefault="006E3BCF" w:rsidP="006E3BCF">
      <w:pPr>
        <w:numPr>
          <w:ilvl w:val="0"/>
          <w:numId w:val="16"/>
        </w:numPr>
      </w:pPr>
      <w:r w:rsidRPr="006E3BCF">
        <w:t>Signed Land Use Permit Application for Small Transit-Shelter (LUP-STS)</w:t>
      </w:r>
    </w:p>
    <w:p w14:paraId="323A4661" w14:textId="77777777" w:rsidR="006E3BCF" w:rsidRPr="006E3BCF" w:rsidRDefault="006E3BCF" w:rsidP="006E3BCF">
      <w:pPr>
        <w:numPr>
          <w:ilvl w:val="0"/>
          <w:numId w:val="16"/>
        </w:numPr>
      </w:pPr>
      <w:r w:rsidRPr="006E3BCF">
        <w:t>Plans approved by VDOT</w:t>
      </w:r>
    </w:p>
    <w:p w14:paraId="00AAB74E" w14:textId="77777777" w:rsidR="006E3BCF" w:rsidRPr="006E3BCF" w:rsidRDefault="006E3BCF" w:rsidP="006E3BCF">
      <w:pPr>
        <w:numPr>
          <w:ilvl w:val="0"/>
          <w:numId w:val="16"/>
        </w:numPr>
      </w:pPr>
      <w:r w:rsidRPr="006E3BCF">
        <w:t>Commonwealth of Virginia Art and Architectural Review Board approval (*see below)</w:t>
      </w:r>
    </w:p>
    <w:p w14:paraId="3046EA6D" w14:textId="77777777" w:rsidR="006E3BCF" w:rsidRPr="006E3BCF" w:rsidRDefault="006E3BCF" w:rsidP="006E3BCF">
      <w:pPr>
        <w:numPr>
          <w:ilvl w:val="0"/>
          <w:numId w:val="16"/>
        </w:numPr>
      </w:pPr>
      <w:r w:rsidRPr="006E3BCF">
        <w:t>Optional surety forms</w:t>
      </w:r>
    </w:p>
    <w:p w14:paraId="2B9C2F31" w14:textId="77777777" w:rsidR="006E3BCF" w:rsidRPr="006E3BCF" w:rsidRDefault="006E3BCF" w:rsidP="006E3BCF">
      <w:pPr>
        <w:numPr>
          <w:ilvl w:val="1"/>
          <w:numId w:val="16"/>
        </w:numPr>
      </w:pPr>
      <w:r w:rsidRPr="006E3BCF">
        <w:t xml:space="preserve">Irrevocable Letter of Credit- </w:t>
      </w:r>
      <w:hyperlink r:id="rId12" w:history="1">
        <w:r w:rsidRPr="006E3BCF">
          <w:rPr>
            <w:rStyle w:val="Hyperlink"/>
          </w:rPr>
          <w:t>LUP-LC</w:t>
        </w:r>
      </w:hyperlink>
    </w:p>
    <w:p w14:paraId="0BFFE13E" w14:textId="68F3D243" w:rsidR="006E3BCF" w:rsidRPr="006E3BCF" w:rsidRDefault="006E3BCF" w:rsidP="006E3BCF">
      <w:pPr>
        <w:numPr>
          <w:ilvl w:val="1"/>
          <w:numId w:val="16"/>
        </w:numPr>
      </w:pPr>
      <w:r w:rsidRPr="006E3BCF">
        <w:t xml:space="preserve">Surety Bond-  </w:t>
      </w:r>
      <w:hyperlink r:id="rId13" w:history="1">
        <w:r w:rsidRPr="006E3BCF">
          <w:rPr>
            <w:rStyle w:val="Hyperlink"/>
          </w:rPr>
          <w:t>LUP-SB</w:t>
        </w:r>
      </w:hyperlink>
    </w:p>
    <w:p w14:paraId="63080F65" w14:textId="7270CAEB" w:rsidR="00CA6D6C" w:rsidRPr="006E3BCF" w:rsidRDefault="006E3BCF" w:rsidP="006E3BCF">
      <w:r w:rsidRPr="006E3BCF">
        <w:t xml:space="preserve">*The permit applicant submits the proposed shelter model to the Commonwealth of Virginia Art and Architectural Review Board (AARB) for their approval.   The </w:t>
      </w:r>
      <w:hyperlink r:id="rId14" w:history="1">
        <w:r w:rsidRPr="006E3BCF">
          <w:rPr>
            <w:rStyle w:val="Hyperlink"/>
          </w:rPr>
          <w:t xml:space="preserve">AARB </w:t>
        </w:r>
      </w:hyperlink>
      <w:r w:rsidRPr="006E3BCF">
        <w:t>is an advisory board appointed by the Governor to review the design or modifications of buildings on State-owned property.  The AARB recommends approval or disapproval to the Director of General Services (typically via consent agenda), to whom the Governor has delegated this authority.  AARB approval is specific to the shelter model; the permit applicant may submit as part of this application, AARB approval for a similar shelter used on a different project (or from another locality), as long as the shelter is the same model.</w:t>
      </w:r>
    </w:p>
    <w:p w14:paraId="0467A00F" w14:textId="77777777" w:rsidR="00CA6D6C" w:rsidRDefault="00CA6D6C" w:rsidP="00F62839">
      <w:pPr>
        <w:rPr>
          <w:b/>
          <w:bCs/>
          <w:u w:val="single"/>
        </w:rPr>
      </w:pPr>
    </w:p>
    <w:p w14:paraId="625F7A31" w14:textId="77777777" w:rsidR="0062384A" w:rsidRPr="0062384A" w:rsidRDefault="0062384A" w:rsidP="0062384A">
      <w:pPr>
        <w:rPr>
          <w:b/>
          <w:bCs/>
          <w:u w:val="single"/>
        </w:rPr>
      </w:pPr>
      <w:r w:rsidRPr="0062384A">
        <w:rPr>
          <w:b/>
          <w:bCs/>
          <w:u w:val="single"/>
        </w:rPr>
        <w:t>Permit Fees &amp; Charges</w:t>
      </w:r>
    </w:p>
    <w:p w14:paraId="10E480EF" w14:textId="0C3FEF3B" w:rsidR="00F62839" w:rsidRPr="00F62839" w:rsidRDefault="0062384A" w:rsidP="00F62839">
      <w:bookmarkStart w:id="0" w:name="24VAC30-151-710._Fees."/>
      <w:bookmarkEnd w:id="0"/>
      <w:r w:rsidRPr="0062384A">
        <w:t>Single use permit. A nonrefundable application fee shall be charged to offset the cost of reviewing and processing the permit application and inspecting the project work.  The land use permit application shall include a check or cash in the amount of $100.00 per transit-shelter location for processing of the request.</w:t>
      </w:r>
    </w:p>
    <w:p w14:paraId="127781A1" w14:textId="77777777" w:rsidR="00AC5110" w:rsidRDefault="00AC5110" w:rsidP="00BD7358"/>
    <w:p w14:paraId="54AEEC6A" w14:textId="77777777" w:rsidR="00664A18" w:rsidRPr="00664A18" w:rsidRDefault="00664A18" w:rsidP="00664A18">
      <w:pPr>
        <w:rPr>
          <w:b/>
          <w:bCs/>
        </w:rPr>
      </w:pPr>
      <w:r w:rsidRPr="00664A18">
        <w:rPr>
          <w:b/>
          <w:bCs/>
          <w:u w:val="single"/>
        </w:rPr>
        <w:t>Surety Requirement</w:t>
      </w:r>
    </w:p>
    <w:p w14:paraId="7FB4CA4D" w14:textId="2445C2F6" w:rsidR="00C97F40" w:rsidRDefault="00664A18" w:rsidP="00664A18">
      <w:r w:rsidRPr="00664A18">
        <w:t xml:space="preserve">The permittee and/or their agent shall provide surety to guarantee the satisfactory performance of the activity authorized under the auspices of the land use permit issued for the initial installation. The surety shall be based on the estimated cost of work to be performed within the right-of-way and </w:t>
      </w:r>
      <w:r w:rsidRPr="00664A18">
        <w:lastRenderedPageBreak/>
        <w:t xml:space="preserve">the amount shall be determined by the district administrator’s designee. The surety may be in the form of a check, cash, irrevocable letter of credit </w:t>
      </w:r>
      <w:hyperlink r:id="rId15" w:history="1">
        <w:r w:rsidRPr="00954322">
          <w:rPr>
            <w:rStyle w:val="Hyperlink"/>
          </w:rPr>
          <w:t>(</w:t>
        </w:r>
        <w:r w:rsidRPr="009434B1">
          <w:rPr>
            <w:rStyle w:val="Hyperlink"/>
            <w:b/>
            <w:bCs/>
            <w:color w:val="0F4761" w:themeColor="accent1" w:themeShade="BF"/>
          </w:rPr>
          <w:t>LUP-LC)</w:t>
        </w:r>
      </w:hyperlink>
      <w:r w:rsidRPr="00664A18">
        <w:t>,</w:t>
      </w:r>
      <w:r w:rsidR="007F50E6">
        <w:t xml:space="preserve"> Resolution</w:t>
      </w:r>
      <w:r w:rsidRPr="00664A18">
        <w:t xml:space="preserve"> or surety bond </w:t>
      </w:r>
      <w:hyperlink r:id="rId16" w:history="1">
        <w:r w:rsidRPr="00AF453E">
          <w:rPr>
            <w:rStyle w:val="Hyperlink"/>
          </w:rPr>
          <w:t>(</w:t>
        </w:r>
        <w:r w:rsidRPr="009434B1">
          <w:rPr>
            <w:rStyle w:val="Hyperlink"/>
            <w:b/>
            <w:bCs/>
            <w:color w:val="0F4761" w:themeColor="accent1" w:themeShade="BF"/>
          </w:rPr>
          <w:t>LUP-SB</w:t>
        </w:r>
        <w:r w:rsidRPr="00AF453E">
          <w:rPr>
            <w:rStyle w:val="Hyperlink"/>
          </w:rPr>
          <w:t>)</w:t>
        </w:r>
      </w:hyperlink>
      <w:r w:rsidRPr="00664A18">
        <w:t>. This surety will be refunded or released upon satisfactory completion of the initial installation and inspection by VDOT.</w:t>
      </w:r>
    </w:p>
    <w:p w14:paraId="542A9C97" w14:textId="77777777" w:rsidR="00F57277" w:rsidRDefault="00F57277" w:rsidP="00664A18"/>
    <w:p w14:paraId="4B819E3D" w14:textId="481F9185" w:rsidR="00384198" w:rsidRPr="00384198" w:rsidRDefault="00384198" w:rsidP="00384198">
      <w:pPr>
        <w:rPr>
          <w:b/>
        </w:rPr>
      </w:pPr>
      <w:r w:rsidRPr="00384198">
        <w:rPr>
          <w:b/>
          <w:bCs/>
          <w:u w:val="single"/>
        </w:rPr>
        <w:t>Cash Surety Refund</w:t>
      </w:r>
    </w:p>
    <w:p w14:paraId="7CB737CB" w14:textId="6548A6C9" w:rsidR="00D63EBA" w:rsidRDefault="00384198" w:rsidP="00384198">
      <w:r w:rsidRPr="00384198">
        <w:t xml:space="preserve">Applicants owing the Internal Revenue </w:t>
      </w:r>
      <w:r w:rsidR="001D69CA" w:rsidRPr="00384198">
        <w:t>Service</w:t>
      </w:r>
      <w:r w:rsidRPr="00384198">
        <w:t xml:space="preserve"> or the Commonwealth of Virginia may not receive 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W-9 to receive a refund of the cash guarantee provided for the issuance of a VDOT land use permit.</w:t>
      </w:r>
    </w:p>
    <w:p w14:paraId="01153EB5" w14:textId="77777777" w:rsidR="00494481" w:rsidRDefault="00494481" w:rsidP="00384198"/>
    <w:p w14:paraId="44C7621F" w14:textId="6931731F" w:rsidR="00494481" w:rsidRPr="00A14C8D" w:rsidRDefault="00A14C8D" w:rsidP="00A14C8D">
      <w:pPr>
        <w:rPr>
          <w:b/>
          <w:bCs/>
        </w:rPr>
      </w:pPr>
      <w:r w:rsidRPr="00A14C8D">
        <w:rPr>
          <w:b/>
          <w:bCs/>
          <w:u w:val="single"/>
        </w:rPr>
        <w:t>Insurance Requirements (excluding County, Town, or City)</w:t>
      </w:r>
    </w:p>
    <w:p w14:paraId="1B29121B" w14:textId="77777777" w:rsidR="009434B1" w:rsidRPr="0013323F" w:rsidRDefault="009434B1" w:rsidP="009434B1">
      <w:pPr>
        <w:pStyle w:val="BodyText"/>
        <w:spacing w:before="180" w:line="259" w:lineRule="auto"/>
        <w:ind w:right="73"/>
        <w:rPr>
          <w:rFonts w:asciiTheme="minorHAnsi" w:hAnsiTheme="minorHAnsi"/>
          <w:sz w:val="22"/>
          <w:szCs w:val="22"/>
        </w:rPr>
      </w:pPr>
      <w:r w:rsidRPr="0013323F">
        <w:rPr>
          <w:rFonts w:asciiTheme="minorHAnsi" w:hAnsiTheme="minorHAnsi"/>
          <w:w w:val="105"/>
          <w:sz w:val="22"/>
          <w:szCs w:val="22"/>
        </w:rPr>
        <w:t>The permittee or their agent shall secure and maintain commercial general liability insurance to protect against liability for personal injury and property damage in connection with all activities undertaken under a permit. Comprehensive general liability insurance with limits of at least $1,000,000 per occurrence and $5,000,000 aggregate, or in amounts otherwise required by VDOT as stated in the permit, shall be maintained at all times.</w:t>
      </w:r>
      <w:r w:rsidRPr="0013323F">
        <w:rPr>
          <w:rFonts w:asciiTheme="minorHAnsi" w:hAnsiTheme="minorHAnsi"/>
          <w:spacing w:val="-7"/>
          <w:w w:val="105"/>
          <w:sz w:val="22"/>
          <w:szCs w:val="22"/>
        </w:rPr>
        <w:t xml:space="preserve"> </w:t>
      </w:r>
      <w:r w:rsidRPr="0013323F">
        <w:rPr>
          <w:rFonts w:asciiTheme="minorHAnsi" w:hAnsiTheme="minorHAnsi"/>
          <w:w w:val="105"/>
          <w:sz w:val="22"/>
          <w:szCs w:val="22"/>
        </w:rPr>
        <w:t>Insurance</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must</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be</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obtained</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prior</w:t>
      </w:r>
      <w:r w:rsidRPr="0013323F">
        <w:rPr>
          <w:rFonts w:asciiTheme="minorHAnsi" w:hAnsiTheme="minorHAnsi"/>
          <w:spacing w:val="-6"/>
          <w:w w:val="105"/>
          <w:sz w:val="22"/>
          <w:szCs w:val="22"/>
        </w:rPr>
        <w:t xml:space="preserve"> </w:t>
      </w:r>
      <w:r w:rsidRPr="0013323F">
        <w:rPr>
          <w:rFonts w:asciiTheme="minorHAnsi" w:hAnsiTheme="minorHAnsi"/>
          <w:w w:val="105"/>
          <w:sz w:val="22"/>
          <w:szCs w:val="22"/>
        </w:rPr>
        <w:t>to</w:t>
      </w:r>
      <w:r w:rsidRPr="0013323F">
        <w:rPr>
          <w:rFonts w:asciiTheme="minorHAnsi" w:hAnsiTheme="minorHAnsi"/>
          <w:spacing w:val="-6"/>
          <w:w w:val="105"/>
          <w:sz w:val="22"/>
          <w:szCs w:val="22"/>
        </w:rPr>
        <w:t xml:space="preserve"> </w:t>
      </w:r>
      <w:r w:rsidRPr="0013323F">
        <w:rPr>
          <w:rFonts w:asciiTheme="minorHAnsi" w:hAnsiTheme="minorHAnsi"/>
          <w:w w:val="105"/>
          <w:sz w:val="22"/>
          <w:szCs w:val="22"/>
        </w:rPr>
        <w:t>start</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of</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the permitted</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work and</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shall</w:t>
      </w:r>
      <w:r w:rsidRPr="0013323F">
        <w:rPr>
          <w:rFonts w:asciiTheme="minorHAnsi" w:hAnsiTheme="minorHAnsi"/>
          <w:spacing w:val="-4"/>
          <w:w w:val="105"/>
          <w:sz w:val="22"/>
          <w:szCs w:val="22"/>
        </w:rPr>
        <w:t xml:space="preserve"> </w:t>
      </w:r>
      <w:r w:rsidRPr="0013323F">
        <w:rPr>
          <w:rFonts w:asciiTheme="minorHAnsi" w:hAnsiTheme="minorHAnsi"/>
          <w:w w:val="105"/>
          <w:sz w:val="22"/>
          <w:szCs w:val="22"/>
        </w:rPr>
        <w:t>remain valid</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through</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the</w:t>
      </w:r>
      <w:r w:rsidRPr="0013323F">
        <w:rPr>
          <w:rFonts w:asciiTheme="minorHAnsi" w:hAnsiTheme="minorHAnsi"/>
          <w:spacing w:val="-5"/>
          <w:w w:val="105"/>
          <w:sz w:val="22"/>
          <w:szCs w:val="22"/>
        </w:rPr>
        <w:t xml:space="preserve"> </w:t>
      </w:r>
      <w:r w:rsidRPr="0013323F">
        <w:rPr>
          <w:rFonts w:asciiTheme="minorHAnsi" w:hAnsiTheme="minorHAnsi"/>
          <w:w w:val="105"/>
          <w:sz w:val="22"/>
          <w:szCs w:val="22"/>
        </w:rPr>
        <w:t>permit completion</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date.</w:t>
      </w:r>
      <w:r w:rsidRPr="0013323F">
        <w:rPr>
          <w:rFonts w:asciiTheme="minorHAnsi" w:hAnsiTheme="minorHAnsi"/>
          <w:spacing w:val="-1"/>
          <w:w w:val="105"/>
          <w:sz w:val="22"/>
          <w:szCs w:val="22"/>
        </w:rPr>
        <w:t xml:space="preserve"> </w:t>
      </w:r>
      <w:r w:rsidRPr="0013323F">
        <w:rPr>
          <w:rFonts w:asciiTheme="minorHAnsi" w:hAnsiTheme="minorHAnsi"/>
          <w:w w:val="105"/>
          <w:sz w:val="22"/>
          <w:szCs w:val="22"/>
        </w:rPr>
        <w:t>VDOT</w:t>
      </w:r>
      <w:r w:rsidRPr="0013323F">
        <w:rPr>
          <w:rFonts w:asciiTheme="minorHAnsi" w:hAnsiTheme="minorHAnsi"/>
          <w:spacing w:val="-2"/>
          <w:w w:val="105"/>
          <w:sz w:val="22"/>
          <w:szCs w:val="22"/>
        </w:rPr>
        <w:t xml:space="preserve"> </w:t>
      </w:r>
      <w:r w:rsidRPr="0013323F">
        <w:rPr>
          <w:rFonts w:asciiTheme="minorHAnsi" w:hAnsiTheme="minorHAnsi"/>
          <w:w w:val="105"/>
          <w:sz w:val="22"/>
          <w:szCs w:val="22"/>
        </w:rPr>
        <w:t>staff</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may</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require a valid certiﬁcate of insurance or policy documents from the issuing insurance agent or agency prior to issuing a permit.</w:t>
      </w:r>
    </w:p>
    <w:p w14:paraId="6D24263E" w14:textId="77777777" w:rsidR="00F57277" w:rsidRDefault="00F57277" w:rsidP="00A14C8D"/>
    <w:p w14:paraId="549C4B89" w14:textId="77777777" w:rsidR="00C1551D" w:rsidRDefault="00C1551D" w:rsidP="00C1551D">
      <w:pPr>
        <w:rPr>
          <w:b/>
          <w:bCs/>
          <w:u w:val="single"/>
        </w:rPr>
      </w:pPr>
      <w:r>
        <w:rPr>
          <w:b/>
          <w:bCs/>
          <w:u w:val="single"/>
        </w:rPr>
        <w:t>General Requirements</w:t>
      </w:r>
    </w:p>
    <w:p w14:paraId="20F39D47" w14:textId="77777777" w:rsidR="00847960" w:rsidRPr="006E721E" w:rsidRDefault="00847960" w:rsidP="00847960">
      <w:pPr>
        <w:numPr>
          <w:ilvl w:val="0"/>
          <w:numId w:val="2"/>
        </w:numPr>
      </w:pPr>
      <w:r w:rsidRPr="006E721E">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1" w:name="_Hlk179967624"/>
      <w:r w:rsidRPr="0076551E">
        <w:rPr>
          <w:rFonts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Pr>
          <w:rFonts w:cstheme="minorHAnsi"/>
          <w:w w:val="105"/>
        </w:rPr>
        <w:t xml:space="preserve"> </w:t>
      </w:r>
      <w:r w:rsidRPr="0076551E">
        <w:rPr>
          <w:rFonts w:cstheme="minorHAnsi"/>
          <w:w w:val="105"/>
        </w:rPr>
        <w:t>violations the permittee is or may be liable</w:t>
      </w:r>
      <w:bookmarkEnd w:id="1"/>
      <w:r w:rsidRPr="006E721E">
        <w:t>.</w:t>
      </w:r>
    </w:p>
    <w:p w14:paraId="30A69F05" w14:textId="77777777" w:rsidR="00C1551D" w:rsidRPr="0041723A" w:rsidRDefault="00C1551D" w:rsidP="00C1551D">
      <w:pPr>
        <w:numPr>
          <w:ilvl w:val="0"/>
          <w:numId w:val="2"/>
        </w:numPr>
      </w:pPr>
      <w:r w:rsidRPr="0041723A">
        <w:t xml:space="preserve">The permittee assumes full responsibility for any damages that may occur as a result of the work performed under this permit. Furthermore, the Department will in no way be </w:t>
      </w:r>
      <w:r w:rsidRPr="0041723A">
        <w:lastRenderedPageBreak/>
        <w:t>responsible for any damage to the facility being placed as a result of future maintenance or construction activities performed by the Department.</w:t>
      </w:r>
    </w:p>
    <w:p w14:paraId="032F4A14" w14:textId="77777777" w:rsidR="00C1551D" w:rsidRPr="0041723A" w:rsidRDefault="00C1551D" w:rsidP="00C1551D">
      <w:pPr>
        <w:numPr>
          <w:ilvl w:val="0"/>
          <w:numId w:val="2"/>
        </w:numPr>
      </w:pPr>
      <w:r>
        <w:t xml:space="preserve">The permittee agrees to move, remove, alter, or change any deployment that interferes with the construction of the highway at no cost to the Department unless otherwise stipulated and agreed to by the Department. </w:t>
      </w:r>
    </w:p>
    <w:p w14:paraId="48398AC7" w14:textId="77777777" w:rsidR="00C1551D" w:rsidRPr="0041723A" w:rsidRDefault="00C1551D" w:rsidP="00C1551D">
      <w:pPr>
        <w:numPr>
          <w:ilvl w:val="0"/>
          <w:numId w:val="2"/>
        </w:numPr>
      </w:pPr>
      <w:r w:rsidRPr="0041723A">
        <w:t xml:space="preserve">The permittee shall immediately correct any situation that may arise </w:t>
      </w:r>
      <w:r>
        <w:t>from their</w:t>
      </w:r>
      <w:r w:rsidRPr="0041723A">
        <w:t xml:space="preserve"> activities that the district administrator’s designee deems hazardous to the traveling public.</w:t>
      </w:r>
    </w:p>
    <w:p w14:paraId="628DBFE5" w14:textId="77777777" w:rsidR="00C1551D" w:rsidRPr="0041723A" w:rsidRDefault="00C1551D" w:rsidP="00C1551D">
      <w:pPr>
        <w:numPr>
          <w:ilvl w:val="0"/>
          <w:numId w:val="2"/>
        </w:numPr>
      </w:pPr>
      <w:r w:rsidRPr="0041723A">
        <w:t xml:space="preserve">Any highway signs, right-of-way markers, etc., disturbed </w:t>
      </w:r>
      <w:r>
        <w:t>by</w:t>
      </w:r>
      <w:r w:rsidRPr="0041723A">
        <w:t xml:space="preserve">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7307AF98" w14:textId="77777777" w:rsidR="00C1551D" w:rsidRPr="0041723A" w:rsidRDefault="00C1551D" w:rsidP="00C1551D">
      <w:pPr>
        <w:numPr>
          <w:ilvl w:val="0"/>
          <w:numId w:val="2"/>
        </w:numPr>
      </w:pPr>
      <w:r w:rsidRPr="0041723A">
        <w:t>It shall be the permittee's responsibility to obtain all necessary permits that may be required by any other government agencies, i.e., U.S. Army Corp</w:t>
      </w:r>
      <w:r>
        <w:t>s</w:t>
      </w:r>
      <w:r w:rsidRPr="0041723A">
        <w:t xml:space="preserve"> of Engineers, Department of Environmental Quality, Department of Conservation and Recreation.</w:t>
      </w:r>
    </w:p>
    <w:p w14:paraId="08E860A5" w14:textId="77777777" w:rsidR="00C1551D" w:rsidRPr="0041723A" w:rsidRDefault="00C1551D" w:rsidP="00C1551D">
      <w:pPr>
        <w:numPr>
          <w:ilvl w:val="0"/>
          <w:numId w:val="2"/>
        </w:numPr>
      </w:pPr>
      <w:r w:rsidRPr="0041723A">
        <w:t>A copy of the VDOT land use permit shall be maintained at the work site and made readily available for inspection when requested by authorized VDOT personnel.</w:t>
      </w:r>
    </w:p>
    <w:p w14:paraId="55D04852" w14:textId="77777777" w:rsidR="00C1551D" w:rsidRPr="0041723A" w:rsidRDefault="00C1551D" w:rsidP="00C1551D">
      <w:pPr>
        <w:numPr>
          <w:ilvl w:val="0"/>
          <w:numId w:val="2"/>
        </w:numPr>
      </w:pPr>
      <w:r w:rsidRPr="0041723A">
        <w:t>The permittee shall notify the local district permit office at least 48 hours prior to commencement of any work requiring inspection and/or testing. Failure to carry out this requirement may result in permit revocation.</w:t>
      </w:r>
    </w:p>
    <w:p w14:paraId="32735C57" w14:textId="77777777" w:rsidR="00C1551D" w:rsidRPr="0041723A" w:rsidRDefault="00C1551D" w:rsidP="00C1551D">
      <w:pPr>
        <w:numPr>
          <w:ilvl w:val="0"/>
          <w:numId w:val="2"/>
        </w:numPr>
      </w:pPr>
      <w:r w:rsidRPr="0041723A">
        <w:t>It is the duty of the district administrator’s designee to keep all roads maintained in a safe and travelable condition at all times. Therefore, any permit may be denied, revoked</w:t>
      </w:r>
      <w:r>
        <w:t>,</w:t>
      </w:r>
      <w:r w:rsidRPr="0041723A">
        <w:t xml:space="preserve"> or suspended when in the opinion of the district administrator’s designee, the safety, use</w:t>
      </w:r>
      <w:r>
        <w:t>,</w:t>
      </w:r>
      <w:r w:rsidRPr="0041723A">
        <w:t xml:space="preserve"> or maintenance of the highway so requires.</w:t>
      </w:r>
    </w:p>
    <w:p w14:paraId="0EAA3453" w14:textId="77777777" w:rsidR="00C1551D" w:rsidRPr="0041723A" w:rsidRDefault="00C1551D" w:rsidP="00C1551D">
      <w:pPr>
        <w:numPr>
          <w:ilvl w:val="0"/>
          <w:numId w:val="2"/>
        </w:numPr>
      </w:pPr>
      <w:r w:rsidRPr="0041723A">
        <w:t>The permittee shall at all times give strict attention to the safety and rights of the traveling public, their employees</w:t>
      </w:r>
      <w:r>
        <w:t>,</w:t>
      </w:r>
      <w:r w:rsidRPr="0041723A">
        <w:t xml:space="preserve">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w:t>
      </w:r>
      <w:r>
        <w:t>,</w:t>
      </w:r>
      <w:r w:rsidRPr="0041723A">
        <w:t xml:space="preserve"> or remove from state-maintained right-of-way, in a satisfactory manner, any installation made under this permit.</w:t>
      </w:r>
    </w:p>
    <w:p w14:paraId="32A608E7" w14:textId="77777777" w:rsidR="00C1551D" w:rsidRPr="0041723A" w:rsidRDefault="00C1551D" w:rsidP="00C1551D">
      <w:pPr>
        <w:numPr>
          <w:ilvl w:val="0"/>
          <w:numId w:val="2"/>
        </w:numPr>
      </w:pPr>
      <w:r w:rsidRPr="0041723A">
        <w:t>All work authorized under the auspices of a VDOT land use permit shall be subject to VDOT’s direction.</w:t>
      </w:r>
    </w:p>
    <w:p w14:paraId="26B05AF7" w14:textId="77777777" w:rsidR="00C1551D" w:rsidRPr="0041723A" w:rsidRDefault="00C1551D" w:rsidP="00C1551D">
      <w:pPr>
        <w:numPr>
          <w:ilvl w:val="0"/>
          <w:numId w:val="2"/>
        </w:numPr>
      </w:pPr>
      <w:r w:rsidRPr="0041723A">
        <w:t>Design changes, specified material changes</w:t>
      </w:r>
      <w:r>
        <w:t>,</w:t>
      </w:r>
      <w:r w:rsidRPr="0041723A">
        <w:t xml:space="preserve"> and/or field changes from the approved plans shall be submitted to the appropriate district administrator’s designee for review and approval prior to proceeding with the proposed changes. This submittal shall include written justification, supplemental documentation</w:t>
      </w:r>
      <w:r>
        <w:t>,</w:t>
      </w:r>
      <w:r w:rsidRPr="0041723A">
        <w:t xml:space="preserve"> and/or engineering calculations that support the requested changes.</w:t>
      </w:r>
    </w:p>
    <w:p w14:paraId="17C42E4C" w14:textId="77777777" w:rsidR="0060769A" w:rsidRDefault="0060769A" w:rsidP="00BB1D6F">
      <w:pPr>
        <w:rPr>
          <w:b/>
          <w:bCs/>
          <w:u w:val="single"/>
        </w:rPr>
      </w:pPr>
    </w:p>
    <w:p w14:paraId="2F6C9CAA" w14:textId="77777777" w:rsidR="009434B1" w:rsidRDefault="009434B1" w:rsidP="00BB1D6F">
      <w:pPr>
        <w:rPr>
          <w:b/>
          <w:bCs/>
          <w:u w:val="single"/>
        </w:rPr>
      </w:pPr>
    </w:p>
    <w:p w14:paraId="1CF88F00" w14:textId="2AF2607E" w:rsidR="00BB1D6F" w:rsidRPr="00BB1D6F" w:rsidRDefault="0047003B" w:rsidP="00BB1D6F">
      <w:pPr>
        <w:rPr>
          <w:b/>
          <w:bCs/>
          <w:u w:val="single"/>
        </w:rPr>
      </w:pPr>
      <w:r>
        <w:rPr>
          <w:b/>
          <w:bCs/>
          <w:u w:val="single"/>
        </w:rPr>
        <w:t xml:space="preserve">Permit </w:t>
      </w:r>
      <w:r w:rsidR="00FE1661">
        <w:rPr>
          <w:b/>
          <w:bCs/>
          <w:u w:val="single"/>
        </w:rPr>
        <w:t xml:space="preserve">Specific </w:t>
      </w:r>
      <w:r w:rsidR="00BB1D6F" w:rsidRPr="00BB1D6F">
        <w:rPr>
          <w:b/>
          <w:bCs/>
          <w:u w:val="single"/>
        </w:rPr>
        <w:t>Requirements</w:t>
      </w:r>
    </w:p>
    <w:p w14:paraId="085005AA" w14:textId="546ADF2C" w:rsidR="00D21509" w:rsidRPr="00D21509" w:rsidRDefault="00D21509" w:rsidP="00D21509">
      <w:pPr>
        <w:numPr>
          <w:ilvl w:val="0"/>
          <w:numId w:val="17"/>
        </w:numPr>
      </w:pPr>
      <w:r w:rsidRPr="00D21509">
        <w:t>The installation of transit-shelters on state-maintained right-of way shall be restricted to highways designated as non-limited access primary and secondary routes.</w:t>
      </w:r>
    </w:p>
    <w:p w14:paraId="7ABC37B8" w14:textId="2F4AD3C4" w:rsidR="00D21509" w:rsidRPr="00D21509" w:rsidRDefault="00D21509" w:rsidP="00D21509">
      <w:pPr>
        <w:numPr>
          <w:ilvl w:val="0"/>
          <w:numId w:val="17"/>
        </w:numPr>
      </w:pPr>
      <w:r w:rsidRPr="00D21509">
        <w:t xml:space="preserve">The LUP-STS applies to transit shelters with an interior shelter-floor-surface-area less than 256-square feet.  For large transit shelters (greater than 256-square feet), the district administrator’s designee should request guidance from the Central Office Capital Outlay Facilities Management Division Administrator.  </w:t>
      </w:r>
    </w:p>
    <w:p w14:paraId="5B9E2D05" w14:textId="40DC18A5" w:rsidR="00D21509" w:rsidRPr="00D21509" w:rsidRDefault="00D21509" w:rsidP="00D21509">
      <w:pPr>
        <w:numPr>
          <w:ilvl w:val="0"/>
          <w:numId w:val="17"/>
        </w:numPr>
      </w:pPr>
      <w:r w:rsidRPr="00D21509">
        <w:t xml:space="preserve">The building official having jurisdiction over each shelter location is responsible for enforcing the Virginia Uniform Statewide Building Code requirements.  The permit applicant is responsible for coordinating with their local building official to determine structure permitting and inspection requirements.   </w:t>
      </w:r>
    </w:p>
    <w:p w14:paraId="5E320C81" w14:textId="77777777" w:rsidR="00D21509" w:rsidRPr="00D21509" w:rsidRDefault="00D21509" w:rsidP="00D21509">
      <w:pPr>
        <w:numPr>
          <w:ilvl w:val="0"/>
          <w:numId w:val="17"/>
        </w:numPr>
      </w:pPr>
      <w:r w:rsidRPr="00D21509">
        <w:t xml:space="preserve">Design requirements for transit-stops are contained in VDOT Road Design Manual, including (but not limited to) the following Appendices: </w:t>
      </w:r>
    </w:p>
    <w:p w14:paraId="02547767" w14:textId="77777777" w:rsidR="00ED7BFA" w:rsidRDefault="00D21509" w:rsidP="00D21509">
      <w:pPr>
        <w:numPr>
          <w:ilvl w:val="3"/>
          <w:numId w:val="17"/>
        </w:numPr>
      </w:pPr>
      <w:r w:rsidRPr="00D21509">
        <w:t>Appendix A1 (geometric standards).</w:t>
      </w:r>
    </w:p>
    <w:p w14:paraId="1B6ECF10" w14:textId="19EBB391" w:rsidR="00D21509" w:rsidRPr="00D21509" w:rsidRDefault="00D21509" w:rsidP="00D21509">
      <w:pPr>
        <w:numPr>
          <w:ilvl w:val="3"/>
          <w:numId w:val="17"/>
        </w:numPr>
      </w:pPr>
      <w:r w:rsidRPr="00D21509">
        <w:t>Appendix A2 (clear zone requirements).</w:t>
      </w:r>
    </w:p>
    <w:p w14:paraId="050A4ED7" w14:textId="77777777" w:rsidR="00D21509" w:rsidRPr="00D21509" w:rsidRDefault="00D21509" w:rsidP="00D21509">
      <w:pPr>
        <w:numPr>
          <w:ilvl w:val="3"/>
          <w:numId w:val="17"/>
        </w:numPr>
      </w:pPr>
      <w:r w:rsidRPr="00D21509">
        <w:t>Appendix A(1) (includes transit-stop, bicycle and pedestrian facilities).</w:t>
      </w:r>
    </w:p>
    <w:p w14:paraId="777F4028" w14:textId="77777777" w:rsidR="00D21509" w:rsidRPr="00D21509" w:rsidRDefault="00D21509" w:rsidP="00D21509">
      <w:pPr>
        <w:numPr>
          <w:ilvl w:val="3"/>
          <w:numId w:val="17"/>
        </w:numPr>
      </w:pPr>
      <w:r w:rsidRPr="00D21509">
        <w:t>Appendix F (intersection sight distance standards).</w:t>
      </w:r>
    </w:p>
    <w:p w14:paraId="77FA3D54" w14:textId="32E298C8" w:rsidR="00AE3C70" w:rsidRDefault="00AE3C70" w:rsidP="00500624"/>
    <w:p w14:paraId="07B87976" w14:textId="77777777" w:rsidR="006C4ADE" w:rsidRDefault="006C4ADE" w:rsidP="006C4ADE">
      <w:pPr>
        <w:widowControl w:val="0"/>
        <w:tabs>
          <w:tab w:val="left" w:pos="460"/>
        </w:tabs>
        <w:autoSpaceDE w:val="0"/>
        <w:autoSpaceDN w:val="0"/>
        <w:spacing w:before="120" w:after="0" w:line="240" w:lineRule="auto"/>
        <w:ind w:right="120"/>
        <w:jc w:val="both"/>
        <w:rPr>
          <w:b/>
          <w:bCs/>
          <w:u w:val="single"/>
        </w:rPr>
      </w:pPr>
      <w:r w:rsidRPr="00DC5239">
        <w:rPr>
          <w:b/>
          <w:bCs/>
          <w:u w:val="single"/>
        </w:rPr>
        <w:t>Traffic Control and Safety</w:t>
      </w:r>
    </w:p>
    <w:p w14:paraId="4B18598E" w14:textId="77777777" w:rsidR="006C4ADE" w:rsidRPr="004D7855" w:rsidRDefault="006C4ADE" w:rsidP="006C4ADE">
      <w:pPr>
        <w:widowControl w:val="0"/>
        <w:numPr>
          <w:ilvl w:val="0"/>
          <w:numId w:val="3"/>
        </w:numPr>
        <w:tabs>
          <w:tab w:val="left" w:pos="460"/>
        </w:tabs>
        <w:autoSpaceDE w:val="0"/>
        <w:autoSpaceDN w:val="0"/>
        <w:spacing w:before="120" w:after="0" w:line="240" w:lineRule="auto"/>
        <w:ind w:left="1080" w:right="120"/>
        <w:jc w:val="both"/>
      </w:pPr>
      <w:r w:rsidRPr="004D7855">
        <w:t>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w:t>
      </w:r>
      <w:r>
        <w:t xml:space="preserve">  </w:t>
      </w:r>
    </w:p>
    <w:p w14:paraId="003068D4" w14:textId="77777777" w:rsidR="006C4ADE" w:rsidRPr="004D7855" w:rsidRDefault="006C4ADE" w:rsidP="006C4ADE">
      <w:pPr>
        <w:widowControl w:val="0"/>
        <w:numPr>
          <w:ilvl w:val="0"/>
          <w:numId w:val="3"/>
        </w:numPr>
        <w:tabs>
          <w:tab w:val="left" w:pos="460"/>
        </w:tabs>
        <w:autoSpaceDE w:val="0"/>
        <w:autoSpaceDN w:val="0"/>
        <w:spacing w:before="120" w:after="0" w:line="240" w:lineRule="auto"/>
        <w:ind w:left="1080" w:right="120"/>
        <w:jc w:val="both"/>
      </w:pPr>
      <w:r w:rsidRPr="004D7855">
        <w:t>The individual accredited in Basic Work Zone Traffic Control is responsible for the placement, maintenance</w:t>
      </w:r>
      <w:r>
        <w:t>,</w:t>
      </w:r>
      <w:r w:rsidRPr="004D7855">
        <w:t xml:space="preserve"> and removal of work zone traffic control devices within the </w:t>
      </w:r>
      <w:r>
        <w:t>work zone</w:t>
      </w:r>
      <w:r w:rsidRPr="004D7855">
        <w:t xml:space="preserve"> in compliance with the permit requirements and conditions, and the approved plans.</w:t>
      </w:r>
    </w:p>
    <w:p w14:paraId="5C324CB4" w14:textId="0FE53E3F" w:rsidR="006C4ADE" w:rsidRPr="004D7855" w:rsidRDefault="00E22BA0" w:rsidP="006C4ADE">
      <w:pPr>
        <w:widowControl w:val="0"/>
        <w:numPr>
          <w:ilvl w:val="0"/>
          <w:numId w:val="3"/>
        </w:numPr>
        <w:tabs>
          <w:tab w:val="left" w:pos="460"/>
        </w:tabs>
        <w:spacing w:before="120" w:after="0" w:line="240" w:lineRule="auto"/>
        <w:ind w:left="1080" w:right="120"/>
        <w:jc w:val="both"/>
      </w:pPr>
      <w:r>
        <w:t>A</w:t>
      </w:r>
      <w:r w:rsidR="006C4ADE">
        <w:t xml:space="preserve"> person accredited by VDOT in Intermediate Work Zone Traffic Control must be on-site to provide supervision for adjustment to the approved layout.</w:t>
      </w:r>
    </w:p>
    <w:p w14:paraId="10B57E5F" w14:textId="77777777" w:rsidR="006C4ADE" w:rsidRPr="004D7855" w:rsidRDefault="006C4ADE" w:rsidP="006C4ADE">
      <w:pPr>
        <w:widowControl w:val="0"/>
        <w:numPr>
          <w:ilvl w:val="0"/>
          <w:numId w:val="3"/>
        </w:numPr>
        <w:tabs>
          <w:tab w:val="left" w:pos="460"/>
        </w:tabs>
        <w:autoSpaceDE w:val="0"/>
        <w:autoSpaceDN w:val="0"/>
        <w:spacing w:before="120" w:after="0" w:line="240" w:lineRule="auto"/>
        <w:ind w:left="1080" w:right="120"/>
        <w:jc w:val="both"/>
      </w:pPr>
      <w:r w:rsidRPr="004D7855">
        <w:t>Individuals responsible for implementation of work zone traffic control measures shall provide evidence of their accreditation upon request from VDOT personnel.</w:t>
      </w:r>
    </w:p>
    <w:p w14:paraId="1DBDB05F" w14:textId="77777777" w:rsidR="006C4ADE" w:rsidRPr="004D7855" w:rsidRDefault="006C4ADE" w:rsidP="006C4ADE">
      <w:pPr>
        <w:widowControl w:val="0"/>
        <w:numPr>
          <w:ilvl w:val="0"/>
          <w:numId w:val="3"/>
        </w:numPr>
        <w:tabs>
          <w:tab w:val="left" w:pos="460"/>
        </w:tabs>
        <w:autoSpaceDE w:val="0"/>
        <w:autoSpaceDN w:val="0"/>
        <w:spacing w:before="120" w:after="0" w:line="240" w:lineRule="auto"/>
        <w:ind w:left="1080" w:right="120"/>
        <w:jc w:val="both"/>
      </w:pPr>
      <w:r w:rsidRPr="004D7855">
        <w:t xml:space="preserve">The permittee shall be exempt from the requirements of Virginia Department of Transportation (VDOT) Road and Bridge Specification, Special Provision 105.14 if the </w:t>
      </w:r>
      <w:r w:rsidRPr="004D7855">
        <w:lastRenderedPageBreak/>
        <w:t>authorized activity is not within the roadway (as defined in 24VAC30-151) of a state-maintained highway.</w:t>
      </w:r>
    </w:p>
    <w:p w14:paraId="1123E649" w14:textId="77777777" w:rsidR="006C4ADE" w:rsidRPr="004D7855" w:rsidRDefault="006C4ADE" w:rsidP="006C4ADE">
      <w:pPr>
        <w:widowControl w:val="0"/>
        <w:numPr>
          <w:ilvl w:val="0"/>
          <w:numId w:val="3"/>
        </w:numPr>
        <w:tabs>
          <w:tab w:val="left" w:pos="460"/>
        </w:tabs>
        <w:autoSpaceDE w:val="0"/>
        <w:autoSpaceDN w:val="0"/>
        <w:spacing w:before="120" w:after="0" w:line="240" w:lineRule="auto"/>
        <w:ind w:left="1080" w:right="120"/>
        <w:jc w:val="both"/>
      </w:pPr>
      <w:r>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294633B8" w14:textId="77777777" w:rsidR="006C4ADE" w:rsidRPr="004D7855" w:rsidRDefault="006C4ADE" w:rsidP="006C4ADE">
      <w:pPr>
        <w:widowControl w:val="0"/>
        <w:numPr>
          <w:ilvl w:val="0"/>
          <w:numId w:val="3"/>
        </w:numPr>
        <w:tabs>
          <w:tab w:val="left" w:pos="460"/>
        </w:tabs>
        <w:autoSpaceDE w:val="0"/>
        <w:autoSpaceDN w:val="0"/>
        <w:spacing w:before="120" w:after="0" w:line="240" w:lineRule="auto"/>
        <w:ind w:left="1080" w:right="120"/>
        <w:jc w:val="both"/>
      </w:pPr>
      <w:r w:rsidRPr="004D7855">
        <w:t>Any certified flag person found to be performing their duties improperly shall have their certification revoked.</w:t>
      </w:r>
    </w:p>
    <w:p w14:paraId="053AF257" w14:textId="77777777" w:rsidR="006C4ADE" w:rsidRPr="004D7855" w:rsidRDefault="006C4ADE" w:rsidP="006C4ADE">
      <w:pPr>
        <w:widowControl w:val="0"/>
        <w:numPr>
          <w:ilvl w:val="0"/>
          <w:numId w:val="3"/>
        </w:numPr>
        <w:tabs>
          <w:tab w:val="left" w:pos="460"/>
        </w:tabs>
        <w:autoSpaceDE w:val="0"/>
        <w:autoSpaceDN w:val="0"/>
        <w:spacing w:before="120" w:after="0" w:line="240" w:lineRule="auto"/>
        <w:ind w:left="1080" w:right="120"/>
        <w:jc w:val="both"/>
      </w:pPr>
      <w:r w:rsidRPr="004D7855">
        <w:t>Traffic shall not be blocked or detoured without permission, documented in writing or electronic communication, being granted by the district administrator’s designee.</w:t>
      </w:r>
    </w:p>
    <w:p w14:paraId="416F9493" w14:textId="77777777" w:rsidR="006C4ADE" w:rsidRPr="004D7855" w:rsidRDefault="006C4ADE" w:rsidP="006C4ADE">
      <w:pPr>
        <w:widowControl w:val="0"/>
        <w:numPr>
          <w:ilvl w:val="0"/>
          <w:numId w:val="3"/>
        </w:numPr>
        <w:tabs>
          <w:tab w:val="left" w:pos="460"/>
        </w:tabs>
        <w:autoSpaceDE w:val="0"/>
        <w:autoSpaceDN w:val="0"/>
        <w:spacing w:before="120" w:after="0" w:line="240" w:lineRule="auto"/>
        <w:ind w:left="1080" w:right="120"/>
        <w:jc w:val="both"/>
      </w:pPr>
      <w:r w:rsidRPr="004D7855">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70A3A23E" w14:textId="77777777" w:rsidR="006C4ADE" w:rsidRPr="004D7855" w:rsidRDefault="006C4ADE" w:rsidP="006C4ADE">
      <w:pPr>
        <w:widowControl w:val="0"/>
        <w:tabs>
          <w:tab w:val="left" w:pos="460"/>
        </w:tabs>
        <w:autoSpaceDE w:val="0"/>
        <w:autoSpaceDN w:val="0"/>
        <w:spacing w:before="120" w:after="0" w:line="240" w:lineRule="auto"/>
        <w:ind w:left="1170" w:right="120"/>
        <w:jc w:val="both"/>
      </w:pPr>
      <w:r w:rsidRPr="004D7855">
        <w:t xml:space="preserve">•Eastern Region (757) 424-9920: All localities within the Hampton Roads </w:t>
      </w:r>
      <w:r>
        <w:t>C</w:t>
      </w:r>
      <w:r w:rsidRPr="004D7855">
        <w:t xml:space="preserve">onstruction </w:t>
      </w:r>
      <w:r>
        <w:t>D</w:t>
      </w:r>
      <w:r w:rsidRPr="004D7855">
        <w:t>istrict excluding Greenville County and Sussex County</w:t>
      </w:r>
    </w:p>
    <w:p w14:paraId="5094125E" w14:textId="77777777" w:rsidR="006C4ADE" w:rsidRPr="004D7855" w:rsidRDefault="006C4ADE" w:rsidP="006C4ADE">
      <w:pPr>
        <w:widowControl w:val="0"/>
        <w:tabs>
          <w:tab w:val="left" w:pos="460"/>
        </w:tabs>
        <w:autoSpaceDE w:val="0"/>
        <w:autoSpaceDN w:val="0"/>
        <w:spacing w:before="120" w:after="0" w:line="240" w:lineRule="auto"/>
        <w:ind w:left="1170" w:right="120"/>
        <w:jc w:val="both"/>
      </w:pPr>
      <w:r w:rsidRPr="004D7855">
        <w:t xml:space="preserve">•Northern Virginia (703) 877-3401: All localities within the NOVA </w:t>
      </w:r>
      <w:r>
        <w:t>C</w:t>
      </w:r>
      <w:r w:rsidRPr="004D7855">
        <w:t xml:space="preserve">onstruction </w:t>
      </w:r>
      <w:r>
        <w:t>D</w:t>
      </w:r>
      <w:r w:rsidRPr="004D7855">
        <w:t xml:space="preserve">istrict </w:t>
      </w:r>
      <w:r>
        <w:t>plus</w:t>
      </w:r>
      <w:r w:rsidRPr="004D7855">
        <w:t xml:space="preserve"> Spotsylvania County and Stafford County</w:t>
      </w:r>
    </w:p>
    <w:p w14:paraId="5B918513" w14:textId="77777777" w:rsidR="006C4ADE" w:rsidRPr="004D7855" w:rsidRDefault="006C4ADE" w:rsidP="006C4ADE">
      <w:pPr>
        <w:widowControl w:val="0"/>
        <w:tabs>
          <w:tab w:val="left" w:pos="460"/>
        </w:tabs>
        <w:autoSpaceDE w:val="0"/>
        <w:autoSpaceDN w:val="0"/>
        <w:spacing w:before="120" w:after="0" w:line="240" w:lineRule="auto"/>
        <w:ind w:left="1170" w:right="120"/>
        <w:jc w:val="both"/>
      </w:pPr>
      <w:r w:rsidRPr="004D7855">
        <w:t xml:space="preserve">•Central Region (804) 796-4520: All localities within the Richmond </w:t>
      </w:r>
      <w:r>
        <w:t>C</w:t>
      </w:r>
      <w:r w:rsidRPr="004D7855">
        <w:t xml:space="preserve">onstruction </w:t>
      </w:r>
      <w:r>
        <w:t>D</w:t>
      </w:r>
      <w:r w:rsidRPr="004D7855">
        <w:t>istrict</w:t>
      </w:r>
      <w:r>
        <w:t>, plus</w:t>
      </w:r>
      <w:r w:rsidRPr="004D7855">
        <w:t xml:space="preserve"> Greenville County and Sussex County. All localities within the Fredericksburg </w:t>
      </w:r>
      <w:r>
        <w:t>D</w:t>
      </w:r>
      <w:r w:rsidRPr="004D7855">
        <w:t>istrict</w:t>
      </w:r>
      <w:r>
        <w:t>,</w:t>
      </w:r>
      <w:r w:rsidRPr="004D7855">
        <w:t xml:space="preserve"> excluding Spotsylvania County and Stafford County</w:t>
      </w:r>
    </w:p>
    <w:p w14:paraId="78AB1D70" w14:textId="77777777" w:rsidR="006C4ADE" w:rsidRPr="004D7855" w:rsidRDefault="006C4ADE" w:rsidP="006C4ADE">
      <w:pPr>
        <w:widowControl w:val="0"/>
        <w:tabs>
          <w:tab w:val="left" w:pos="460"/>
        </w:tabs>
        <w:autoSpaceDE w:val="0"/>
        <w:autoSpaceDN w:val="0"/>
        <w:spacing w:before="120" w:after="0" w:line="240" w:lineRule="auto"/>
        <w:ind w:left="1170" w:right="120"/>
        <w:jc w:val="both"/>
      </w:pPr>
      <w:r w:rsidRPr="004D7855">
        <w:t xml:space="preserve">•SW Region (540) 375-0170: All localities within the Salem, Bristol, and Lynchburg </w:t>
      </w:r>
      <w:r>
        <w:t>C</w:t>
      </w:r>
      <w:r w:rsidRPr="004D7855">
        <w:t xml:space="preserve">onstruction </w:t>
      </w:r>
      <w:r>
        <w:t>D</w:t>
      </w:r>
      <w:r w:rsidRPr="004D7855">
        <w:t>istricts</w:t>
      </w:r>
    </w:p>
    <w:p w14:paraId="16F7A3A1" w14:textId="09A17D71" w:rsidR="006C4ADE" w:rsidRPr="004D7855" w:rsidRDefault="006C4ADE" w:rsidP="006C4ADE">
      <w:pPr>
        <w:widowControl w:val="0"/>
        <w:tabs>
          <w:tab w:val="left" w:pos="460"/>
        </w:tabs>
        <w:autoSpaceDE w:val="0"/>
        <w:autoSpaceDN w:val="0"/>
        <w:spacing w:before="120" w:after="0" w:line="240" w:lineRule="auto"/>
        <w:ind w:left="1170" w:right="120"/>
        <w:jc w:val="both"/>
      </w:pPr>
      <w:r w:rsidRPr="004D7855">
        <w:t xml:space="preserve">•NW Region (540) 332-9500: All localities within the Staunton and Culpeper </w:t>
      </w:r>
      <w:r>
        <w:t>C</w:t>
      </w:r>
      <w:r w:rsidRPr="004D7855">
        <w:t xml:space="preserve">onstruction </w:t>
      </w:r>
      <w:r>
        <w:t>D</w:t>
      </w:r>
      <w:r w:rsidRPr="004D7855">
        <w:t>istricts</w:t>
      </w:r>
    </w:p>
    <w:p w14:paraId="354D13BB" w14:textId="77777777" w:rsidR="006C4ADE" w:rsidRPr="00F2536A" w:rsidRDefault="006C4ADE" w:rsidP="00326092">
      <w:pPr>
        <w:widowControl w:val="0"/>
        <w:tabs>
          <w:tab w:val="left" w:pos="460"/>
        </w:tabs>
        <w:autoSpaceDE w:val="0"/>
        <w:autoSpaceDN w:val="0"/>
        <w:spacing w:before="120" w:after="0" w:line="240" w:lineRule="auto"/>
        <w:ind w:left="1080" w:right="120"/>
        <w:jc w:val="both"/>
      </w:pPr>
      <w:r w:rsidRPr="00F2536A">
        <w:t>Information regarding how to obtain access and the requirements for entry of lane closure request</w:t>
      </w:r>
      <w:r>
        <w:t>s</w:t>
      </w:r>
      <w:r w:rsidRPr="00F2536A">
        <w:t xml:space="preserve"> in LCAMS and VaTraffic will be provided by the local permit office.</w:t>
      </w:r>
    </w:p>
    <w:p w14:paraId="071925BD" w14:textId="77777777" w:rsidR="00B75DE6" w:rsidRDefault="00B75DE6" w:rsidP="00C82AFE"/>
    <w:p w14:paraId="36A66929" w14:textId="4C540603" w:rsidR="00B75DE6" w:rsidRPr="00B75DE6" w:rsidRDefault="00B75DE6" w:rsidP="00B75DE6">
      <w:pPr>
        <w:rPr>
          <w:b/>
        </w:rPr>
      </w:pPr>
      <w:r w:rsidRPr="00B75DE6">
        <w:rPr>
          <w:b/>
          <w:bCs/>
          <w:u w:val="single"/>
        </w:rPr>
        <w:t>Authorized Hours and Days of Work</w:t>
      </w:r>
    </w:p>
    <w:p w14:paraId="291D2502" w14:textId="77777777" w:rsidR="00B75DE6" w:rsidRPr="00B75DE6" w:rsidRDefault="00B75DE6" w:rsidP="00B75DE6">
      <w:r w:rsidRPr="00B75DE6">
        <w:t>Normal hours for work under the authority of a VDOT land use permit are from 9:00 a.m. to 3:30 p.m. Monday through Friday for all highways classified as arterial or collector. All highways classified as local roads will have unrestricted work hours and days.</w:t>
      </w:r>
    </w:p>
    <w:p w14:paraId="5E2192C5" w14:textId="77777777" w:rsidR="00B75DE6" w:rsidRPr="00B75DE6" w:rsidRDefault="00B75DE6" w:rsidP="00B75DE6">
      <w:r w:rsidRPr="00B75DE6">
        <w:t>The district administrator’s designee may establish alternate time restrictions in normal working hours for single use permits.</w:t>
      </w:r>
    </w:p>
    <w:p w14:paraId="63AF21B8" w14:textId="442372D1" w:rsidR="00B75DE6" w:rsidRPr="00B75DE6" w:rsidRDefault="00B75DE6" w:rsidP="00B75DE6">
      <w:r w:rsidRPr="00B75DE6">
        <w:lastRenderedPageBreak/>
        <w:t>The central office permit manager may establish alternate time restrictions in normal working hours for district-wide permits.</w:t>
      </w:r>
    </w:p>
    <w:p w14:paraId="50AD6C74" w14:textId="77777777" w:rsidR="00B75DE6" w:rsidRPr="00B75DE6" w:rsidRDefault="00B75DE6" w:rsidP="00B75DE6">
      <w:r w:rsidRPr="00B75DE6">
        <w:t>The classifications for all state-maintained highways can be found at the following link:</w:t>
      </w:r>
    </w:p>
    <w:p w14:paraId="28268B76" w14:textId="13561CB3" w:rsidR="00B75DE6" w:rsidRPr="00B75DE6" w:rsidRDefault="001B4FA9" w:rsidP="00B75DE6">
      <w:pPr>
        <w:rPr>
          <w:b/>
          <w:u w:val="single"/>
        </w:rPr>
      </w:pPr>
      <w:r w:rsidRPr="002E1EA3">
        <w:t>https://www.vdot.virginia.gov/projects/roads-classified/</w:t>
      </w:r>
    </w:p>
    <w:p w14:paraId="69C1083A" w14:textId="77777777" w:rsidR="00B75DE6" w:rsidRPr="00B75DE6" w:rsidRDefault="00B75DE6" w:rsidP="00B75DE6">
      <w:pPr>
        <w:rPr>
          <w:b/>
          <w:u w:val="single"/>
        </w:rPr>
      </w:pPr>
    </w:p>
    <w:p w14:paraId="2E0C2039" w14:textId="1F9EC8B4" w:rsidR="00B75DE6" w:rsidRPr="00B75DE6" w:rsidRDefault="00B75DE6" w:rsidP="00B75DE6">
      <w:pPr>
        <w:rPr>
          <w:b/>
        </w:rPr>
      </w:pPr>
      <w:r w:rsidRPr="00B75DE6">
        <w:rPr>
          <w:b/>
          <w:bCs/>
          <w:u w:val="single"/>
        </w:rPr>
        <w:t>Holiday Restrictions</w:t>
      </w:r>
    </w:p>
    <w:p w14:paraId="3805B4A1" w14:textId="77777777" w:rsidR="000A6ECC" w:rsidRDefault="00B75DE6" w:rsidP="000A6ECC">
      <w:r w:rsidRPr="00B75DE6">
        <w:t>Non-emergency work will not be allowed on arterial and collector highway classifications from noon on the preceding weekday through all state observed holidays. If the observed holiday falls on a Monday, the non-emergency work will not be allowed from noon on the preceding Friday through noon on Tuesday.</w:t>
      </w:r>
    </w:p>
    <w:p w14:paraId="747B1D3E" w14:textId="77777777" w:rsidR="000A6ECC" w:rsidRDefault="000A6ECC" w:rsidP="000A6ECC"/>
    <w:p w14:paraId="023ED96C" w14:textId="57E98EC4" w:rsidR="000A6ECC" w:rsidRPr="004D7855" w:rsidRDefault="000A6ECC" w:rsidP="000A6ECC">
      <w:pPr>
        <w:rPr>
          <w:b/>
        </w:rPr>
      </w:pPr>
      <w:r w:rsidRPr="004D7855">
        <w:rPr>
          <w:b/>
          <w:bCs/>
          <w:u w:val="single"/>
        </w:rPr>
        <w:t>Excavation</w:t>
      </w:r>
    </w:p>
    <w:p w14:paraId="4027A700" w14:textId="77777777" w:rsidR="000A6ECC" w:rsidRPr="004D7855" w:rsidRDefault="000A6ECC" w:rsidP="000A6ECC">
      <w:pPr>
        <w:widowControl w:val="0"/>
        <w:tabs>
          <w:tab w:val="left" w:pos="460"/>
        </w:tabs>
        <w:autoSpaceDE w:val="0"/>
        <w:autoSpaceDN w:val="0"/>
        <w:spacing w:before="120" w:after="0" w:line="240" w:lineRule="auto"/>
        <w:ind w:right="120"/>
        <w:jc w:val="both"/>
      </w:pPr>
      <w:r w:rsidRPr="004D7855">
        <w:t>All excavation within state-maintained rights-of-way shall comply with OSHA Technical Manual, Chapter 2, Title Excavation: Hazard Recognition in Trenching and Shoring. A professional engineer shall certify all shoring and/or trench boxes.</w:t>
      </w:r>
    </w:p>
    <w:p w14:paraId="4C3E8FA1" w14:textId="77777777" w:rsidR="000A6ECC" w:rsidRPr="004D7855" w:rsidRDefault="000A6ECC" w:rsidP="000A6ECC">
      <w:pPr>
        <w:widowControl w:val="0"/>
        <w:tabs>
          <w:tab w:val="left" w:pos="460"/>
        </w:tabs>
        <w:autoSpaceDE w:val="0"/>
        <w:autoSpaceDN w:val="0"/>
        <w:spacing w:before="120" w:after="0" w:line="240" w:lineRule="auto"/>
        <w:ind w:right="120"/>
        <w:jc w:val="both"/>
      </w:pPr>
      <w:r w:rsidRPr="004D7855">
        <w:t>No excavated material is to be placed or tracked on the pavement without written permission from the District Administrator’s designee. When so authorized, the pavement shall be satisfactorily cleaned by a VDOT approved method. No cleated (track- mounted) equipment is to be used on the pavement without properly protecting the pavement from damage.</w:t>
      </w:r>
    </w:p>
    <w:p w14:paraId="17190229" w14:textId="77777777" w:rsidR="000A6ECC" w:rsidRDefault="000A6ECC" w:rsidP="000A6ECC">
      <w:pPr>
        <w:widowControl w:val="0"/>
        <w:tabs>
          <w:tab w:val="left" w:pos="460"/>
        </w:tabs>
        <w:autoSpaceDE w:val="0"/>
        <w:autoSpaceDN w:val="0"/>
        <w:spacing w:before="120" w:after="0" w:line="240" w:lineRule="auto"/>
        <w:ind w:right="120"/>
        <w:jc w:val="both"/>
      </w:pPr>
      <w:r w:rsidRPr="004D7855">
        <w:t xml:space="preserve">Prior to any excavation, the permittee shall comply with the terms of </w:t>
      </w:r>
      <w:hyperlink r:id="rId17">
        <w:r w:rsidRPr="006D42F3">
          <w:rPr>
            <w:rStyle w:val="Hyperlink"/>
          </w:rPr>
          <w:t>Title 56, Chapter 10.3</w:t>
        </w:r>
      </w:hyperlink>
      <w:r w:rsidRPr="004D7855">
        <w:rPr>
          <w:b/>
        </w:rPr>
        <w:t xml:space="preserve"> </w:t>
      </w:r>
      <w:r w:rsidRPr="004D7855">
        <w:t xml:space="preserve">of the Underground Utility Damage Prevention Act and </w:t>
      </w:r>
      <w:hyperlink r:id="rId18">
        <w:r w:rsidRPr="006D42F3">
          <w:rPr>
            <w:rStyle w:val="Hyperlink"/>
          </w:rPr>
          <w:t>§56-265.14</w:t>
        </w:r>
      </w:hyperlink>
      <w:r w:rsidRPr="004D7855">
        <w:rPr>
          <w:b/>
        </w:rPr>
        <w:t xml:space="preserve"> </w:t>
      </w:r>
      <w:r w:rsidRPr="004D7855">
        <w:t xml:space="preserve">through </w:t>
      </w:r>
      <w:hyperlink r:id="rId19">
        <w:r w:rsidRPr="006D42F3">
          <w:rPr>
            <w:rStyle w:val="Hyperlink"/>
          </w:rPr>
          <w:t>§56-265.2</w:t>
        </w:r>
      </w:hyperlink>
      <w:r w:rsidRPr="006D42F3">
        <w:rPr>
          <w:color w:val="0B769F" w:themeColor="accent4" w:themeShade="BF"/>
          <w:u w:val="single"/>
        </w:rPr>
        <w:t>0</w:t>
      </w:r>
      <w:r w:rsidRPr="004D7855">
        <w:rPr>
          <w:b/>
        </w:rPr>
        <w:t xml:space="preserve"> </w:t>
      </w:r>
      <w:r w:rsidRPr="004D7855">
        <w:t>of the Code of Virginia. This permit does not grant permission to grade on or near property of others or adjust or disturb in anyway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35749D3C" w14:textId="1E182553" w:rsidR="000A6ECC" w:rsidRPr="006E4414" w:rsidRDefault="000A6ECC" w:rsidP="006E4414">
      <w:pPr>
        <w:tabs>
          <w:tab w:val="left" w:pos="460"/>
        </w:tabs>
        <w:spacing w:before="120"/>
        <w:ind w:right="120"/>
        <w:jc w:val="both"/>
        <w:rPr>
          <w:b/>
          <w:bCs/>
          <w:color w:val="0F4761" w:themeColor="accent1" w:themeShade="BF"/>
        </w:rPr>
      </w:pPr>
      <w:r w:rsidRPr="00363F74">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 at:</w:t>
      </w:r>
      <w:r>
        <w:t xml:space="preserve"> </w:t>
      </w:r>
      <w:hyperlink r:id="rId20" w:history="1">
        <w:r w:rsidR="00094774" w:rsidRPr="00A117FC">
          <w:rPr>
            <w:rStyle w:val="Hyperlink"/>
            <w:b/>
            <w:bCs/>
          </w:rPr>
          <w:t>IIM-TMPD-541, IIM-TE-383, IIM -OD-16-01, Request for Marking VDOT Utility Location (virginia.gov)</w:t>
        </w:r>
      </w:hyperlink>
    </w:p>
    <w:p w14:paraId="55C0E56E" w14:textId="77777777" w:rsidR="000A6ECC" w:rsidRPr="00363F74" w:rsidRDefault="000A6ECC" w:rsidP="000A6ECC">
      <w:pPr>
        <w:widowControl w:val="0"/>
        <w:tabs>
          <w:tab w:val="left" w:pos="460"/>
        </w:tabs>
        <w:autoSpaceDE w:val="0"/>
        <w:autoSpaceDN w:val="0"/>
        <w:spacing w:before="120" w:after="0" w:line="240" w:lineRule="auto"/>
        <w:ind w:right="120"/>
        <w:jc w:val="both"/>
      </w:pPr>
      <w:r w:rsidRPr="00363F74">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counties of Stafford, Spotsylvania and Caroline, the permittee may request VDOT regional utility marking at: http://www.vdotutilitymarking.virginia.gov </w:t>
      </w:r>
    </w:p>
    <w:p w14:paraId="642E969C" w14:textId="77777777" w:rsidR="000A6ECC" w:rsidRPr="00363F74" w:rsidRDefault="000A6ECC" w:rsidP="000A6ECC">
      <w:pPr>
        <w:widowControl w:val="0"/>
        <w:tabs>
          <w:tab w:val="left" w:pos="460"/>
        </w:tabs>
        <w:autoSpaceDE w:val="0"/>
        <w:autoSpaceDN w:val="0"/>
        <w:spacing w:before="120" w:after="0" w:line="240" w:lineRule="auto"/>
        <w:ind w:right="120"/>
        <w:jc w:val="both"/>
      </w:pPr>
      <w:r w:rsidRPr="00363F74">
        <w:t>Failure to carry out this requirement may result in permit revocation.</w:t>
      </w:r>
    </w:p>
    <w:p w14:paraId="0AFE14E6" w14:textId="77777777" w:rsidR="00E36605" w:rsidRDefault="00E36605" w:rsidP="00B75DE6"/>
    <w:p w14:paraId="73FA6E9C" w14:textId="77777777" w:rsidR="009434B1" w:rsidRDefault="009434B1" w:rsidP="00322DBD">
      <w:pPr>
        <w:widowControl w:val="0"/>
        <w:tabs>
          <w:tab w:val="left" w:pos="460"/>
        </w:tabs>
        <w:autoSpaceDE w:val="0"/>
        <w:autoSpaceDN w:val="0"/>
        <w:spacing w:before="120" w:after="0" w:line="240" w:lineRule="auto"/>
        <w:ind w:right="120"/>
        <w:jc w:val="both"/>
        <w:rPr>
          <w:b/>
          <w:bCs/>
          <w:u w:val="single"/>
        </w:rPr>
      </w:pPr>
    </w:p>
    <w:p w14:paraId="0703919A" w14:textId="74C2E5E5" w:rsidR="00322DBD" w:rsidRPr="004D7855" w:rsidRDefault="00322DBD" w:rsidP="00322DBD">
      <w:pPr>
        <w:widowControl w:val="0"/>
        <w:tabs>
          <w:tab w:val="left" w:pos="460"/>
        </w:tabs>
        <w:autoSpaceDE w:val="0"/>
        <w:autoSpaceDN w:val="0"/>
        <w:spacing w:before="120" w:after="0" w:line="240" w:lineRule="auto"/>
        <w:ind w:right="120"/>
        <w:jc w:val="both"/>
        <w:rPr>
          <w:b/>
          <w:bCs/>
        </w:rPr>
      </w:pPr>
      <w:r w:rsidRPr="004D7855">
        <w:rPr>
          <w:b/>
          <w:bCs/>
          <w:u w:val="single"/>
        </w:rPr>
        <w:t>Environmental</w:t>
      </w:r>
    </w:p>
    <w:p w14:paraId="2EF576F8" w14:textId="77777777" w:rsidR="00322DBD" w:rsidRPr="004D7855" w:rsidRDefault="00322DBD" w:rsidP="00322DBD">
      <w:pPr>
        <w:widowControl w:val="0"/>
        <w:tabs>
          <w:tab w:val="left" w:pos="460"/>
        </w:tabs>
        <w:autoSpaceDE w:val="0"/>
        <w:autoSpaceDN w:val="0"/>
        <w:spacing w:after="0" w:line="240" w:lineRule="auto"/>
        <w:ind w:right="120"/>
        <w:jc w:val="both"/>
        <w:rPr>
          <w:b/>
        </w:rPr>
      </w:pPr>
    </w:p>
    <w:p w14:paraId="19E1E083" w14:textId="77777777" w:rsidR="00322DBD" w:rsidRPr="004D7855" w:rsidRDefault="00322DBD" w:rsidP="00322DBD">
      <w:pPr>
        <w:widowControl w:val="0"/>
        <w:numPr>
          <w:ilvl w:val="0"/>
          <w:numId w:val="15"/>
        </w:numPr>
        <w:tabs>
          <w:tab w:val="left" w:pos="460"/>
        </w:tabs>
        <w:autoSpaceDE w:val="0"/>
        <w:autoSpaceDN w:val="0"/>
        <w:spacing w:before="120" w:after="0" w:line="240" w:lineRule="auto"/>
        <w:ind w:right="120"/>
        <w:jc w:val="both"/>
      </w:pPr>
      <w:r w:rsidRPr="004D7855">
        <w:t xml:space="preserve">In accordance with the Virginia Department of Transportation (VDOT) Road and Bridge Specification </w:t>
      </w:r>
      <w:r w:rsidRPr="006D42F3">
        <w:rPr>
          <w:bCs/>
        </w:rPr>
        <w:t>107.16</w:t>
      </w:r>
      <w:r w:rsidRPr="004D7855">
        <w:t>, all contractors performing regulated land disturbing activities within VDOT right-of-way must have at least one (1) employee that has successfully completed the VDOT Erosion &amp; Sediment Control Contractor Certification training. This person shall be on site during all land disturbance activities and will be responsible for insuring compliance with all applicable local, state, and federal erosion and sediment control regulations during land disturbance activities. This person must have their certification card with them while on the project site. The land use permit will be suspended if proof of certification cannot be provided. Regulated land disturbing activities are defined as those activities that disturb 2,500 square feet or greater in Tidewater, Virginia or 10,000 square feet or greater in all other areas of the State. The Department will require evidence of this certification with any land use permit application that involves utility and/or commercial right of way improvement. Improper installation, maintenance and removal of erosion and sediment control devices may result in revocation of VDOT Erosion &amp; Sediment Control Contractor Certification.</w:t>
      </w:r>
    </w:p>
    <w:p w14:paraId="096EC1F5" w14:textId="77777777" w:rsidR="00322DBD" w:rsidRPr="004D7855" w:rsidRDefault="00322DBD" w:rsidP="00322DBD">
      <w:pPr>
        <w:widowControl w:val="0"/>
        <w:numPr>
          <w:ilvl w:val="0"/>
          <w:numId w:val="15"/>
        </w:numPr>
        <w:tabs>
          <w:tab w:val="left" w:pos="460"/>
        </w:tabs>
        <w:autoSpaceDE w:val="0"/>
        <w:autoSpaceDN w:val="0"/>
        <w:spacing w:before="120" w:after="0" w:line="240" w:lineRule="auto"/>
        <w:ind w:right="120"/>
        <w:jc w:val="both"/>
      </w:pPr>
      <w:r w:rsidRPr="004D7855">
        <w:t>The permittee is responsible for pursuing and obtaining any and all environmental permits which may be required to pursue the proposed activity prior to any work beginning within state-maintained right-of-way.</w:t>
      </w:r>
    </w:p>
    <w:p w14:paraId="7913889A" w14:textId="77777777" w:rsidR="00322DBD" w:rsidRPr="004D7855" w:rsidRDefault="00322DBD" w:rsidP="00322DBD">
      <w:pPr>
        <w:widowControl w:val="0"/>
        <w:numPr>
          <w:ilvl w:val="0"/>
          <w:numId w:val="15"/>
        </w:numPr>
        <w:tabs>
          <w:tab w:val="left" w:pos="460"/>
        </w:tabs>
        <w:autoSpaceDE w:val="0"/>
        <w:autoSpaceDN w:val="0"/>
        <w:spacing w:before="120" w:after="0" w:line="240" w:lineRule="auto"/>
        <w:ind w:right="120"/>
        <w:jc w:val="both"/>
      </w:pPr>
      <w:r w:rsidRPr="004D7855">
        <w:t>In the event hazardous materials or underground storage tanks are encountered within state-maintained right-of-way during authorized activities, the permittee shall suspend all work immediately then notify the local district permit office and other responsible parties, i.e., the local fire department, emergency services, Department of Environmental Quality, etc. The permittee is responsible for coordination and completion of all required remediation necessary to complete the permitted activities within the state-maintained right-of-way. The permittee shall provide evidence of such compliance to the local district permit office prior to recommencement of permitted activities.</w:t>
      </w:r>
    </w:p>
    <w:p w14:paraId="0AB360C5" w14:textId="77777777" w:rsidR="00515384" w:rsidRDefault="00322DBD" w:rsidP="00322DBD">
      <w:pPr>
        <w:widowControl w:val="0"/>
        <w:numPr>
          <w:ilvl w:val="0"/>
          <w:numId w:val="15"/>
        </w:numPr>
        <w:tabs>
          <w:tab w:val="left" w:pos="460"/>
        </w:tabs>
        <w:autoSpaceDE w:val="0"/>
        <w:autoSpaceDN w:val="0"/>
        <w:spacing w:before="120" w:after="0" w:line="240" w:lineRule="auto"/>
        <w:ind w:right="120"/>
        <w:jc w:val="both"/>
      </w:pPr>
      <w:r w:rsidRPr="004D7855">
        <w:t>In the event cultural resources, archaeological, paleontological, and/or rare minerals are encountered within the right of way during authorized activities, the permittee shall suspend all work immediately then notify the local district permit office and the proper state authority charged with the responsibility for investigation and evaluation of such finds. The permittee will meet all necessary requirements for resolving any conflicts prior to continuing with the proposed activities within the state-maintained right-of-way and shall provide evidence of such compliance to the local district permit office.</w:t>
      </w:r>
    </w:p>
    <w:p w14:paraId="27814319" w14:textId="042E9915" w:rsidR="000A6ECC" w:rsidRPr="00B75DE6" w:rsidRDefault="00322DBD" w:rsidP="00322DBD">
      <w:pPr>
        <w:widowControl w:val="0"/>
        <w:numPr>
          <w:ilvl w:val="0"/>
          <w:numId w:val="15"/>
        </w:numPr>
        <w:tabs>
          <w:tab w:val="left" w:pos="460"/>
        </w:tabs>
        <w:autoSpaceDE w:val="0"/>
        <w:autoSpaceDN w:val="0"/>
        <w:spacing w:before="120" w:after="0" w:line="240" w:lineRule="auto"/>
        <w:ind w:right="120"/>
        <w:jc w:val="both"/>
      </w:pPr>
      <w:r w:rsidRPr="004D7855">
        <w:t>Roadway drainage shall not be blocked or diverted. The shoulders, ditches, roadside, drainage facilities and pavement shall be kept in an operable condition satisfactory to the Department. Necessary precautions shall be taken by the permittee to insure against siltation of adjacent properties, streams, etc.</w:t>
      </w:r>
    </w:p>
    <w:p w14:paraId="50AC8BB3" w14:textId="77777777" w:rsidR="00B75DE6" w:rsidRPr="00C82AFE" w:rsidRDefault="00B75DE6" w:rsidP="00C82AFE"/>
    <w:p w14:paraId="166AE5FB" w14:textId="77777777" w:rsidR="007F66D6" w:rsidRDefault="007F66D6" w:rsidP="007F66D6">
      <w:pPr>
        <w:widowControl w:val="0"/>
        <w:tabs>
          <w:tab w:val="left" w:pos="460"/>
        </w:tabs>
        <w:autoSpaceDE w:val="0"/>
        <w:autoSpaceDN w:val="0"/>
        <w:spacing w:before="120" w:after="0" w:line="240" w:lineRule="auto"/>
        <w:ind w:right="120"/>
        <w:jc w:val="both"/>
        <w:rPr>
          <w:b/>
          <w:bCs/>
          <w:u w:val="single"/>
        </w:rPr>
      </w:pPr>
    </w:p>
    <w:p w14:paraId="5D5EEF88" w14:textId="77777777" w:rsidR="006E4414" w:rsidRDefault="006E4414" w:rsidP="007F66D6">
      <w:pPr>
        <w:widowControl w:val="0"/>
        <w:tabs>
          <w:tab w:val="left" w:pos="460"/>
        </w:tabs>
        <w:autoSpaceDE w:val="0"/>
        <w:autoSpaceDN w:val="0"/>
        <w:spacing w:before="120" w:after="0" w:line="240" w:lineRule="auto"/>
        <w:ind w:right="120"/>
        <w:jc w:val="both"/>
        <w:rPr>
          <w:b/>
          <w:bCs/>
          <w:u w:val="single"/>
        </w:rPr>
      </w:pPr>
    </w:p>
    <w:p w14:paraId="78EFAD35" w14:textId="77777777" w:rsidR="009434B1" w:rsidRDefault="009434B1" w:rsidP="007F66D6">
      <w:pPr>
        <w:widowControl w:val="0"/>
        <w:tabs>
          <w:tab w:val="left" w:pos="460"/>
        </w:tabs>
        <w:autoSpaceDE w:val="0"/>
        <w:autoSpaceDN w:val="0"/>
        <w:spacing w:before="120" w:after="0" w:line="240" w:lineRule="auto"/>
        <w:ind w:right="120"/>
        <w:jc w:val="both"/>
        <w:rPr>
          <w:b/>
          <w:bCs/>
          <w:u w:val="single"/>
        </w:rPr>
      </w:pPr>
    </w:p>
    <w:p w14:paraId="04541FB1" w14:textId="77777777" w:rsidR="009434B1" w:rsidRDefault="009434B1" w:rsidP="007F66D6">
      <w:pPr>
        <w:widowControl w:val="0"/>
        <w:tabs>
          <w:tab w:val="left" w:pos="460"/>
        </w:tabs>
        <w:autoSpaceDE w:val="0"/>
        <w:autoSpaceDN w:val="0"/>
        <w:spacing w:before="120" w:after="0" w:line="240" w:lineRule="auto"/>
        <w:ind w:right="120"/>
        <w:jc w:val="both"/>
        <w:rPr>
          <w:b/>
          <w:bCs/>
          <w:u w:val="single"/>
        </w:rPr>
      </w:pPr>
    </w:p>
    <w:p w14:paraId="606D20F5" w14:textId="1DD4B5EE" w:rsidR="007F66D6" w:rsidRPr="004D7855" w:rsidRDefault="007F66D6" w:rsidP="007F66D6">
      <w:pPr>
        <w:widowControl w:val="0"/>
        <w:tabs>
          <w:tab w:val="left" w:pos="460"/>
        </w:tabs>
        <w:autoSpaceDE w:val="0"/>
        <w:autoSpaceDN w:val="0"/>
        <w:spacing w:before="120" w:after="0" w:line="240" w:lineRule="auto"/>
        <w:ind w:right="120"/>
        <w:jc w:val="both"/>
        <w:rPr>
          <w:b/>
        </w:rPr>
      </w:pPr>
      <w:r w:rsidRPr="004D7855">
        <w:rPr>
          <w:b/>
          <w:bCs/>
          <w:u w:val="single"/>
        </w:rPr>
        <w:t>Final Inspection and Completion of Permit</w:t>
      </w:r>
    </w:p>
    <w:p w14:paraId="5596467F" w14:textId="77777777" w:rsidR="007F66D6" w:rsidRPr="004D7855" w:rsidRDefault="007F66D6" w:rsidP="007F66D6">
      <w:pPr>
        <w:widowControl w:val="0"/>
        <w:tabs>
          <w:tab w:val="left" w:pos="460"/>
        </w:tabs>
        <w:autoSpaceDE w:val="0"/>
        <w:autoSpaceDN w:val="0"/>
        <w:spacing w:before="120" w:after="0" w:line="240" w:lineRule="auto"/>
        <w:ind w:right="120"/>
        <w:jc w:val="both"/>
      </w:pPr>
      <w:r w:rsidRPr="004D7855">
        <w:t>Upon completion of the work covered by this permit all disturbed areas outside of the roadway prism shall be restored to their original condition as found prior to starting such work.</w:t>
      </w:r>
    </w:p>
    <w:p w14:paraId="011B5AC5" w14:textId="77777777" w:rsidR="007F66D6" w:rsidRPr="004D7855" w:rsidRDefault="007F66D6" w:rsidP="007F66D6">
      <w:pPr>
        <w:widowControl w:val="0"/>
        <w:tabs>
          <w:tab w:val="left" w:pos="460"/>
        </w:tabs>
        <w:autoSpaceDE w:val="0"/>
        <w:autoSpaceDN w:val="0"/>
        <w:spacing w:before="120" w:after="0" w:line="240" w:lineRule="auto"/>
        <w:ind w:right="120"/>
        <w:jc w:val="both"/>
      </w:pPr>
      <w:r w:rsidRPr="004D7855">
        <w:t>Completion of this permit is contingent upon the permittee’s completion of the authorized work in accordance with the approved plan and compliance with all governing bodies involved in the total completion of work on state-maintained right-of-way.</w:t>
      </w:r>
    </w:p>
    <w:p w14:paraId="1175E8DF" w14:textId="77777777" w:rsidR="007F66D6" w:rsidRPr="004D7855" w:rsidRDefault="007F66D6" w:rsidP="007F66D6">
      <w:pPr>
        <w:widowControl w:val="0"/>
        <w:tabs>
          <w:tab w:val="left" w:pos="460"/>
        </w:tabs>
        <w:autoSpaceDE w:val="0"/>
        <w:autoSpaceDN w:val="0"/>
        <w:spacing w:before="120" w:after="0" w:line="240" w:lineRule="auto"/>
        <w:ind w:right="120"/>
        <w:jc w:val="both"/>
      </w:pPr>
      <w:r w:rsidRPr="004D7855">
        <w:t>Upon completion of the work under permit, the permittee shall provide notification, documented in writing or electronic communication, to the district administrator's designee requesting final inspection. This request shall include the permit number, county name, route number and name of the party or parties to whom the permit was issued.</w:t>
      </w:r>
    </w:p>
    <w:p w14:paraId="73737A6B" w14:textId="77777777" w:rsidR="007F66D6" w:rsidRDefault="007F66D6" w:rsidP="007F66D6">
      <w:pPr>
        <w:widowControl w:val="0"/>
        <w:tabs>
          <w:tab w:val="left" w:pos="460"/>
        </w:tabs>
        <w:autoSpaceDE w:val="0"/>
        <w:autoSpaceDN w:val="0"/>
        <w:spacing w:before="120" w:after="0" w:line="240" w:lineRule="auto"/>
        <w:ind w:right="120"/>
        <w:jc w:val="both"/>
      </w:pPr>
      <w:r w:rsidRPr="004D7855">
        <w:t>The district administrator's designee shall promptly schedule an inspection of the work covered under the permit and advise the permittee of any necessary corrections.</w:t>
      </w:r>
    </w:p>
    <w:p w14:paraId="6E978937" w14:textId="1A1AF25D" w:rsidR="00023C21" w:rsidRDefault="00023C21" w:rsidP="007F66D6"/>
    <w:sectPr w:rsidR="00023C21" w:rsidSect="0059340C">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E14EE" w14:textId="77777777" w:rsidR="000D1C5C" w:rsidRDefault="000D1C5C" w:rsidP="000935DA">
      <w:pPr>
        <w:spacing w:after="0" w:line="240" w:lineRule="auto"/>
      </w:pPr>
      <w:r>
        <w:separator/>
      </w:r>
    </w:p>
  </w:endnote>
  <w:endnote w:type="continuationSeparator" w:id="0">
    <w:p w14:paraId="42E93CD9" w14:textId="77777777" w:rsidR="000D1C5C" w:rsidRDefault="000D1C5C" w:rsidP="000935DA">
      <w:pPr>
        <w:spacing w:after="0" w:line="240" w:lineRule="auto"/>
      </w:pPr>
      <w:r>
        <w:continuationSeparator/>
      </w:r>
    </w:p>
  </w:endnote>
  <w:endnote w:type="continuationNotice" w:id="1">
    <w:p w14:paraId="36BF661D" w14:textId="77777777" w:rsidR="000D1C5C" w:rsidRDefault="000D1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783095"/>
      <w:docPartObj>
        <w:docPartGallery w:val="Page Numbers (Bottom of Page)"/>
        <w:docPartUnique/>
      </w:docPartObj>
    </w:sdtPr>
    <w:sdtEndPr>
      <w:rPr>
        <w:noProof/>
      </w:rPr>
    </w:sdtEndPr>
    <w:sdtContent>
      <w:p w14:paraId="00C1B8D5" w14:textId="51745BB2" w:rsidR="003821FF" w:rsidRDefault="003821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8B350" w14:textId="77777777" w:rsidR="003821FF" w:rsidRDefault="00382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B8975" w14:textId="77777777" w:rsidR="000D1C5C" w:rsidRDefault="000D1C5C" w:rsidP="000935DA">
      <w:pPr>
        <w:spacing w:after="0" w:line="240" w:lineRule="auto"/>
      </w:pPr>
      <w:r>
        <w:separator/>
      </w:r>
    </w:p>
  </w:footnote>
  <w:footnote w:type="continuationSeparator" w:id="0">
    <w:p w14:paraId="662A9D95" w14:textId="77777777" w:rsidR="000D1C5C" w:rsidRDefault="000D1C5C" w:rsidP="000935DA">
      <w:pPr>
        <w:spacing w:after="0" w:line="240" w:lineRule="auto"/>
      </w:pPr>
      <w:r>
        <w:continuationSeparator/>
      </w:r>
    </w:p>
  </w:footnote>
  <w:footnote w:type="continuationNotice" w:id="1">
    <w:p w14:paraId="006195A2" w14:textId="77777777" w:rsidR="000D1C5C" w:rsidRDefault="000D1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CBDD" w14:textId="14367DB0" w:rsidR="00FD62D3" w:rsidRDefault="006E4414">
    <w:pPr>
      <w:pStyle w:val="Header"/>
    </w:pPr>
    <w:r>
      <w:t xml:space="preserve">October </w:t>
    </w:r>
    <w:r w:rsidR="009434B1">
      <w:t>29</w:t>
    </w:r>
    <w:r w:rsidR="002A405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3A4"/>
    <w:multiLevelType w:val="hybridMultilevel"/>
    <w:tmpl w:val="2DAA6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A2A67"/>
    <w:multiLevelType w:val="multilevel"/>
    <w:tmpl w:val="CEC28436"/>
    <w:lvl w:ilvl="0">
      <w:start w:val="1"/>
      <w:numFmt w:val="decimal"/>
      <w:lvlText w:val="%1)"/>
      <w:lvlJc w:val="left"/>
      <w:pPr>
        <w:ind w:left="1080" w:hanging="360"/>
      </w:pPr>
      <w:rPr>
        <w:rFonts w:hint="default"/>
        <w:b w:val="0"/>
        <w:bCs w:val="0"/>
        <w:i w:val="0"/>
        <w:iCs w:val="0"/>
        <w:spacing w:val="-1"/>
        <w:w w:val="99"/>
        <w:sz w:val="20"/>
        <w:szCs w:val="20"/>
        <w:lang w:val="en-US" w:eastAsia="en-US" w:bidi="ar-SA"/>
      </w:rPr>
    </w:lvl>
    <w:lvl w:ilvl="1">
      <w:start w:val="1"/>
      <w:numFmt w:val="lowerLetter"/>
      <w:lvlText w:val="%2)"/>
      <w:lvlJc w:val="left"/>
      <w:pPr>
        <w:ind w:left="1440" w:hanging="360"/>
      </w:pPr>
    </w:lvl>
    <w:lvl w:ilvl="2">
      <w:start w:val="1"/>
      <w:numFmt w:val="decimal"/>
      <w:lvlText w:val="%3)"/>
      <w:lvlJc w:val="left"/>
      <w:pPr>
        <w:ind w:left="1800" w:hanging="360"/>
      </w:pPr>
    </w:lvl>
    <w:lvl w:ilvl="3">
      <w:start w:val="1"/>
      <w:numFmt w:val="lowerLetter"/>
      <w:lvlText w:val="%4)"/>
      <w:lvlJc w:val="left"/>
      <w:pPr>
        <w:ind w:left="2160" w:hanging="360"/>
      </w:pPr>
    </w:lvl>
    <w:lvl w:ilvl="4">
      <w:start w:val="1"/>
      <w:numFmt w:val="decimal"/>
      <w:lvlText w:val="%5)"/>
      <w:lvlJc w:val="left"/>
      <w:pPr>
        <w:ind w:left="2520" w:hanging="360"/>
      </w:pPr>
    </w:lvl>
    <w:lvl w:ilvl="5">
      <w:start w:val="1"/>
      <w:numFmt w:val="lowerRoman"/>
      <w:lvlText w:val="(%6)"/>
      <w:lvlJc w:val="left"/>
      <w:pPr>
        <w:ind w:left="2880" w:hanging="360"/>
      </w:pPr>
      <w:rPr>
        <w:rFonts w:hint="default"/>
        <w:lang w:val="en-US" w:eastAsia="en-US" w:bidi="ar-SA"/>
      </w:rPr>
    </w:lvl>
    <w:lvl w:ilvl="6">
      <w:start w:val="1"/>
      <w:numFmt w:val="decimal"/>
      <w:lvlText w:val="%7."/>
      <w:lvlJc w:val="left"/>
      <w:pPr>
        <w:ind w:left="3240" w:hanging="360"/>
      </w:pPr>
      <w:rPr>
        <w:rFonts w:hint="default"/>
        <w:lang w:val="en-US" w:eastAsia="en-US" w:bidi="ar-SA"/>
      </w:rPr>
    </w:lvl>
    <w:lvl w:ilvl="7">
      <w:start w:val="1"/>
      <w:numFmt w:val="lowerLetter"/>
      <w:lvlText w:val="%8."/>
      <w:lvlJc w:val="left"/>
      <w:pPr>
        <w:ind w:left="3600" w:hanging="360"/>
      </w:pPr>
      <w:rPr>
        <w:rFonts w:hint="default"/>
        <w:lang w:val="en-US" w:eastAsia="en-US" w:bidi="ar-SA"/>
      </w:rPr>
    </w:lvl>
    <w:lvl w:ilvl="8">
      <w:start w:val="1"/>
      <w:numFmt w:val="lowerRoman"/>
      <w:lvlText w:val="%9."/>
      <w:lvlJc w:val="left"/>
      <w:pPr>
        <w:ind w:left="3960" w:hanging="360"/>
      </w:pPr>
      <w:rPr>
        <w:rFonts w:hint="default"/>
        <w:lang w:val="en-US" w:eastAsia="en-US" w:bidi="ar-SA"/>
      </w:rPr>
    </w:lvl>
  </w:abstractNum>
  <w:abstractNum w:abstractNumId="2" w15:restartNumberingAfterBreak="0">
    <w:nsid w:val="073C4012"/>
    <w:multiLevelType w:val="hybridMultilevel"/>
    <w:tmpl w:val="48B221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16939"/>
    <w:multiLevelType w:val="hybridMultilevel"/>
    <w:tmpl w:val="3C027B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47169"/>
    <w:multiLevelType w:val="hybridMultilevel"/>
    <w:tmpl w:val="16E6F9DC"/>
    <w:lvl w:ilvl="0" w:tplc="FF3409B8">
      <w:start w:val="1"/>
      <w:numFmt w:val="decimal"/>
      <w:lvlText w:val="%1."/>
      <w:lvlJc w:val="left"/>
      <w:pPr>
        <w:ind w:left="1597" w:hanging="197"/>
      </w:pPr>
      <w:rPr>
        <w:rFonts w:ascii="Calibri" w:eastAsia="Calibri" w:hAnsi="Calibri" w:cs="Calibri" w:hint="default"/>
        <w:b w:val="0"/>
        <w:bCs w:val="0"/>
        <w:i w:val="0"/>
        <w:iCs w:val="0"/>
        <w:spacing w:val="-1"/>
        <w:w w:val="99"/>
        <w:sz w:val="20"/>
        <w:szCs w:val="20"/>
        <w:lang w:val="en-US" w:eastAsia="en-US" w:bidi="ar-SA"/>
      </w:rPr>
    </w:lvl>
    <w:lvl w:ilvl="1" w:tplc="55622C0C">
      <w:numFmt w:val="bullet"/>
      <w:lvlText w:val="•"/>
      <w:lvlJc w:val="left"/>
      <w:pPr>
        <w:ind w:left="2650" w:hanging="197"/>
      </w:pPr>
      <w:rPr>
        <w:rFonts w:hint="default"/>
        <w:lang w:val="en-US" w:eastAsia="en-US" w:bidi="ar-SA"/>
      </w:rPr>
    </w:lvl>
    <w:lvl w:ilvl="2" w:tplc="3E4694E6">
      <w:numFmt w:val="bullet"/>
      <w:lvlText w:val="•"/>
      <w:lvlJc w:val="left"/>
      <w:pPr>
        <w:ind w:left="3700" w:hanging="197"/>
      </w:pPr>
      <w:rPr>
        <w:rFonts w:hint="default"/>
        <w:lang w:val="en-US" w:eastAsia="en-US" w:bidi="ar-SA"/>
      </w:rPr>
    </w:lvl>
    <w:lvl w:ilvl="3" w:tplc="DB584914">
      <w:numFmt w:val="bullet"/>
      <w:lvlText w:val="•"/>
      <w:lvlJc w:val="left"/>
      <w:pPr>
        <w:ind w:left="4750" w:hanging="197"/>
      </w:pPr>
      <w:rPr>
        <w:rFonts w:hint="default"/>
        <w:lang w:val="en-US" w:eastAsia="en-US" w:bidi="ar-SA"/>
      </w:rPr>
    </w:lvl>
    <w:lvl w:ilvl="4" w:tplc="03E49AF8">
      <w:numFmt w:val="bullet"/>
      <w:lvlText w:val="•"/>
      <w:lvlJc w:val="left"/>
      <w:pPr>
        <w:ind w:left="5800" w:hanging="197"/>
      </w:pPr>
      <w:rPr>
        <w:rFonts w:hint="default"/>
        <w:lang w:val="en-US" w:eastAsia="en-US" w:bidi="ar-SA"/>
      </w:rPr>
    </w:lvl>
    <w:lvl w:ilvl="5" w:tplc="C3EE3190">
      <w:numFmt w:val="bullet"/>
      <w:lvlText w:val="•"/>
      <w:lvlJc w:val="left"/>
      <w:pPr>
        <w:ind w:left="6850" w:hanging="197"/>
      </w:pPr>
      <w:rPr>
        <w:rFonts w:hint="default"/>
        <w:lang w:val="en-US" w:eastAsia="en-US" w:bidi="ar-SA"/>
      </w:rPr>
    </w:lvl>
    <w:lvl w:ilvl="6" w:tplc="CAB05D08">
      <w:numFmt w:val="bullet"/>
      <w:lvlText w:val="•"/>
      <w:lvlJc w:val="left"/>
      <w:pPr>
        <w:ind w:left="7900" w:hanging="197"/>
      </w:pPr>
      <w:rPr>
        <w:rFonts w:hint="default"/>
        <w:lang w:val="en-US" w:eastAsia="en-US" w:bidi="ar-SA"/>
      </w:rPr>
    </w:lvl>
    <w:lvl w:ilvl="7" w:tplc="92903442">
      <w:numFmt w:val="bullet"/>
      <w:lvlText w:val="•"/>
      <w:lvlJc w:val="left"/>
      <w:pPr>
        <w:ind w:left="8950" w:hanging="197"/>
      </w:pPr>
      <w:rPr>
        <w:rFonts w:hint="default"/>
        <w:lang w:val="en-US" w:eastAsia="en-US" w:bidi="ar-SA"/>
      </w:rPr>
    </w:lvl>
    <w:lvl w:ilvl="8" w:tplc="11B21C1E">
      <w:numFmt w:val="bullet"/>
      <w:lvlText w:val="•"/>
      <w:lvlJc w:val="left"/>
      <w:pPr>
        <w:ind w:left="10000" w:hanging="197"/>
      </w:pPr>
      <w:rPr>
        <w:rFonts w:hint="default"/>
        <w:lang w:val="en-US" w:eastAsia="en-US" w:bidi="ar-SA"/>
      </w:rPr>
    </w:lvl>
  </w:abstractNum>
  <w:abstractNum w:abstractNumId="5" w15:restartNumberingAfterBreak="0">
    <w:nsid w:val="1E3E5FF5"/>
    <w:multiLevelType w:val="multilevel"/>
    <w:tmpl w:val="03484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C672A"/>
    <w:multiLevelType w:val="hybridMultilevel"/>
    <w:tmpl w:val="A9AA6A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144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E522B"/>
    <w:multiLevelType w:val="hybridMultilevel"/>
    <w:tmpl w:val="48B221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5153D5"/>
    <w:multiLevelType w:val="hybridMultilevel"/>
    <w:tmpl w:val="C70A4C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10" w15:restartNumberingAfterBreak="0">
    <w:nsid w:val="48B92352"/>
    <w:multiLevelType w:val="hybridMultilevel"/>
    <w:tmpl w:val="ACF003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E9364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616D4FD8"/>
    <w:multiLevelType w:val="hybridMultilevel"/>
    <w:tmpl w:val="116A4BA8"/>
    <w:lvl w:ilvl="0" w:tplc="FFFFFFFF">
      <w:start w:val="1"/>
      <w:numFmt w:val="decimal"/>
      <w:lvlText w:val="%1."/>
      <w:lvlJc w:val="left"/>
      <w:pPr>
        <w:ind w:left="720" w:hanging="360"/>
      </w:pPr>
      <w:rPr>
        <w:rFonts w:eastAsiaTheme="minorHAns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0B11E2"/>
    <w:multiLevelType w:val="hybridMultilevel"/>
    <w:tmpl w:val="852A1B94"/>
    <w:lvl w:ilvl="0" w:tplc="60DC364A">
      <w:start w:val="1"/>
      <w:numFmt w:val="decimal"/>
      <w:lvlText w:val="%1)"/>
      <w:lvlJc w:val="left"/>
      <w:pPr>
        <w:ind w:left="584"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1668" w:hanging="360"/>
      </w:pPr>
      <w:rPr>
        <w:rFonts w:hint="default"/>
        <w:lang w:val="en-US" w:eastAsia="en-US" w:bidi="ar-SA"/>
      </w:rPr>
    </w:lvl>
    <w:lvl w:ilvl="2" w:tplc="37C4C286">
      <w:numFmt w:val="bullet"/>
      <w:lvlText w:val="•"/>
      <w:lvlJc w:val="left"/>
      <w:pPr>
        <w:ind w:left="2756" w:hanging="360"/>
      </w:pPr>
      <w:rPr>
        <w:rFonts w:hint="default"/>
        <w:lang w:val="en-US" w:eastAsia="en-US" w:bidi="ar-SA"/>
      </w:rPr>
    </w:lvl>
    <w:lvl w:ilvl="3" w:tplc="4A74B64C">
      <w:numFmt w:val="bullet"/>
      <w:lvlText w:val="•"/>
      <w:lvlJc w:val="left"/>
      <w:pPr>
        <w:ind w:left="3844" w:hanging="360"/>
      </w:pPr>
      <w:rPr>
        <w:rFonts w:hint="default"/>
        <w:lang w:val="en-US" w:eastAsia="en-US" w:bidi="ar-SA"/>
      </w:rPr>
    </w:lvl>
    <w:lvl w:ilvl="4" w:tplc="2966AD5E">
      <w:numFmt w:val="bullet"/>
      <w:lvlText w:val="•"/>
      <w:lvlJc w:val="left"/>
      <w:pPr>
        <w:ind w:left="4932" w:hanging="360"/>
      </w:pPr>
      <w:rPr>
        <w:rFonts w:hint="default"/>
        <w:lang w:val="en-US" w:eastAsia="en-US" w:bidi="ar-SA"/>
      </w:rPr>
    </w:lvl>
    <w:lvl w:ilvl="5" w:tplc="746CCEBC">
      <w:numFmt w:val="bullet"/>
      <w:lvlText w:val="•"/>
      <w:lvlJc w:val="left"/>
      <w:pPr>
        <w:ind w:left="6020" w:hanging="360"/>
      </w:pPr>
      <w:rPr>
        <w:rFonts w:hint="default"/>
        <w:lang w:val="en-US" w:eastAsia="en-US" w:bidi="ar-SA"/>
      </w:rPr>
    </w:lvl>
    <w:lvl w:ilvl="6" w:tplc="9D4878A6">
      <w:numFmt w:val="bullet"/>
      <w:lvlText w:val="•"/>
      <w:lvlJc w:val="left"/>
      <w:pPr>
        <w:ind w:left="7108" w:hanging="360"/>
      </w:pPr>
      <w:rPr>
        <w:rFonts w:hint="default"/>
        <w:lang w:val="en-US" w:eastAsia="en-US" w:bidi="ar-SA"/>
      </w:rPr>
    </w:lvl>
    <w:lvl w:ilvl="7" w:tplc="DADCBFA6">
      <w:numFmt w:val="bullet"/>
      <w:lvlText w:val="•"/>
      <w:lvlJc w:val="left"/>
      <w:pPr>
        <w:ind w:left="8196" w:hanging="360"/>
      </w:pPr>
      <w:rPr>
        <w:rFonts w:hint="default"/>
        <w:lang w:val="en-US" w:eastAsia="en-US" w:bidi="ar-SA"/>
      </w:rPr>
    </w:lvl>
    <w:lvl w:ilvl="8" w:tplc="F02EB4F8">
      <w:numFmt w:val="bullet"/>
      <w:lvlText w:val="•"/>
      <w:lvlJc w:val="left"/>
      <w:pPr>
        <w:ind w:left="9284" w:hanging="360"/>
      </w:pPr>
      <w:rPr>
        <w:rFonts w:hint="default"/>
        <w:lang w:val="en-US" w:eastAsia="en-US" w:bidi="ar-SA"/>
      </w:rPr>
    </w:lvl>
  </w:abstractNum>
  <w:abstractNum w:abstractNumId="14" w15:restartNumberingAfterBreak="0">
    <w:nsid w:val="65D90563"/>
    <w:multiLevelType w:val="hybridMultilevel"/>
    <w:tmpl w:val="3710DB8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238128F"/>
    <w:multiLevelType w:val="hybridMultilevel"/>
    <w:tmpl w:val="4F40CEB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3AC662F"/>
    <w:multiLevelType w:val="hybridMultilevel"/>
    <w:tmpl w:val="FD8A27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007890">
    <w:abstractNumId w:val="4"/>
  </w:num>
  <w:num w:numId="2" w16cid:durableId="2134980186">
    <w:abstractNumId w:val="9"/>
  </w:num>
  <w:num w:numId="3" w16cid:durableId="1685938648">
    <w:abstractNumId w:val="13"/>
  </w:num>
  <w:num w:numId="4" w16cid:durableId="423764698">
    <w:abstractNumId w:val="16"/>
  </w:num>
  <w:num w:numId="5" w16cid:durableId="1191411262">
    <w:abstractNumId w:val="10"/>
  </w:num>
  <w:num w:numId="6" w16cid:durableId="799878814">
    <w:abstractNumId w:val="0"/>
  </w:num>
  <w:num w:numId="7" w16cid:durableId="1210612347">
    <w:abstractNumId w:val="14"/>
  </w:num>
  <w:num w:numId="8" w16cid:durableId="1838039471">
    <w:abstractNumId w:val="6"/>
  </w:num>
  <w:num w:numId="9" w16cid:durableId="90275395">
    <w:abstractNumId w:val="2"/>
  </w:num>
  <w:num w:numId="10" w16cid:durableId="1441486196">
    <w:abstractNumId w:val="12"/>
  </w:num>
  <w:num w:numId="11" w16cid:durableId="1021973279">
    <w:abstractNumId w:val="5"/>
  </w:num>
  <w:num w:numId="12" w16cid:durableId="1028335784">
    <w:abstractNumId w:val="15"/>
  </w:num>
  <w:num w:numId="13" w16cid:durableId="868757527">
    <w:abstractNumId w:val="8"/>
  </w:num>
  <w:num w:numId="14" w16cid:durableId="52168783">
    <w:abstractNumId w:val="7"/>
  </w:num>
  <w:num w:numId="15" w16cid:durableId="764496066">
    <w:abstractNumId w:val="3"/>
  </w:num>
  <w:num w:numId="16" w16cid:durableId="298997764">
    <w:abstractNumId w:val="11"/>
  </w:num>
  <w:num w:numId="17" w16cid:durableId="96485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F6"/>
    <w:rsid w:val="00000EF2"/>
    <w:rsid w:val="00012536"/>
    <w:rsid w:val="00023C21"/>
    <w:rsid w:val="00034667"/>
    <w:rsid w:val="00036799"/>
    <w:rsid w:val="000666C4"/>
    <w:rsid w:val="00081FF1"/>
    <w:rsid w:val="00082701"/>
    <w:rsid w:val="000935DA"/>
    <w:rsid w:val="00094774"/>
    <w:rsid w:val="000A20DB"/>
    <w:rsid w:val="000A22D3"/>
    <w:rsid w:val="000A270C"/>
    <w:rsid w:val="000A6015"/>
    <w:rsid w:val="000A6ECC"/>
    <w:rsid w:val="000B338E"/>
    <w:rsid w:val="000D1C5C"/>
    <w:rsid w:val="000D660A"/>
    <w:rsid w:val="00111226"/>
    <w:rsid w:val="0016175C"/>
    <w:rsid w:val="00162285"/>
    <w:rsid w:val="001B2FCB"/>
    <w:rsid w:val="001B486B"/>
    <w:rsid w:val="001B4FA9"/>
    <w:rsid w:val="001D327E"/>
    <w:rsid w:val="001D69CA"/>
    <w:rsid w:val="00202D3F"/>
    <w:rsid w:val="00213425"/>
    <w:rsid w:val="00220366"/>
    <w:rsid w:val="00226CD7"/>
    <w:rsid w:val="0027175C"/>
    <w:rsid w:val="002A4057"/>
    <w:rsid w:val="002B5014"/>
    <w:rsid w:val="002D1EB3"/>
    <w:rsid w:val="002E1D63"/>
    <w:rsid w:val="002E6327"/>
    <w:rsid w:val="00322C6E"/>
    <w:rsid w:val="00322DBD"/>
    <w:rsid w:val="00326092"/>
    <w:rsid w:val="00336DAE"/>
    <w:rsid w:val="003743E5"/>
    <w:rsid w:val="003821FF"/>
    <w:rsid w:val="00384198"/>
    <w:rsid w:val="003A36C4"/>
    <w:rsid w:val="00403350"/>
    <w:rsid w:val="0040522D"/>
    <w:rsid w:val="004062AC"/>
    <w:rsid w:val="0045030E"/>
    <w:rsid w:val="0045466B"/>
    <w:rsid w:val="00467411"/>
    <w:rsid w:val="0047003B"/>
    <w:rsid w:val="00472559"/>
    <w:rsid w:val="00472B37"/>
    <w:rsid w:val="00484C1B"/>
    <w:rsid w:val="00494481"/>
    <w:rsid w:val="004A0FAE"/>
    <w:rsid w:val="004A2D83"/>
    <w:rsid w:val="004A3831"/>
    <w:rsid w:val="004B3833"/>
    <w:rsid w:val="00500624"/>
    <w:rsid w:val="00501434"/>
    <w:rsid w:val="00506773"/>
    <w:rsid w:val="00515384"/>
    <w:rsid w:val="0059340C"/>
    <w:rsid w:val="00593BAD"/>
    <w:rsid w:val="00597C48"/>
    <w:rsid w:val="005A079C"/>
    <w:rsid w:val="005A0CFB"/>
    <w:rsid w:val="005A6783"/>
    <w:rsid w:val="005B096E"/>
    <w:rsid w:val="005F3006"/>
    <w:rsid w:val="005F7A96"/>
    <w:rsid w:val="0060769A"/>
    <w:rsid w:val="0061709E"/>
    <w:rsid w:val="0062384A"/>
    <w:rsid w:val="006248AF"/>
    <w:rsid w:val="00633C75"/>
    <w:rsid w:val="00656577"/>
    <w:rsid w:val="00664A18"/>
    <w:rsid w:val="006B4337"/>
    <w:rsid w:val="006C4ADE"/>
    <w:rsid w:val="006D1D6D"/>
    <w:rsid w:val="006E3BCF"/>
    <w:rsid w:val="006E4414"/>
    <w:rsid w:val="006F1EAF"/>
    <w:rsid w:val="00702165"/>
    <w:rsid w:val="007052E9"/>
    <w:rsid w:val="00707A65"/>
    <w:rsid w:val="00714A88"/>
    <w:rsid w:val="00740F39"/>
    <w:rsid w:val="00743EF6"/>
    <w:rsid w:val="00753A0B"/>
    <w:rsid w:val="007627E6"/>
    <w:rsid w:val="007953EC"/>
    <w:rsid w:val="007974D9"/>
    <w:rsid w:val="007B4E4F"/>
    <w:rsid w:val="007D1E89"/>
    <w:rsid w:val="007D26D6"/>
    <w:rsid w:val="007D3F3A"/>
    <w:rsid w:val="007D7E17"/>
    <w:rsid w:val="007E476F"/>
    <w:rsid w:val="007E5FB7"/>
    <w:rsid w:val="007F3423"/>
    <w:rsid w:val="007F50E6"/>
    <w:rsid w:val="007F66D6"/>
    <w:rsid w:val="008067D2"/>
    <w:rsid w:val="008078F6"/>
    <w:rsid w:val="00827060"/>
    <w:rsid w:val="008415FB"/>
    <w:rsid w:val="00843C83"/>
    <w:rsid w:val="008453FE"/>
    <w:rsid w:val="00847960"/>
    <w:rsid w:val="00852574"/>
    <w:rsid w:val="008733BD"/>
    <w:rsid w:val="00880F77"/>
    <w:rsid w:val="008829B9"/>
    <w:rsid w:val="008A51CE"/>
    <w:rsid w:val="008A5673"/>
    <w:rsid w:val="008A6EA0"/>
    <w:rsid w:val="008B0082"/>
    <w:rsid w:val="008B3CC1"/>
    <w:rsid w:val="008C3A1C"/>
    <w:rsid w:val="008E6157"/>
    <w:rsid w:val="00904052"/>
    <w:rsid w:val="00904168"/>
    <w:rsid w:val="00931A02"/>
    <w:rsid w:val="009363C7"/>
    <w:rsid w:val="009434B1"/>
    <w:rsid w:val="00954322"/>
    <w:rsid w:val="0098061F"/>
    <w:rsid w:val="009C1BC8"/>
    <w:rsid w:val="009C6DB0"/>
    <w:rsid w:val="009D6EC7"/>
    <w:rsid w:val="00A02680"/>
    <w:rsid w:val="00A05AAD"/>
    <w:rsid w:val="00A07918"/>
    <w:rsid w:val="00A100EB"/>
    <w:rsid w:val="00A13491"/>
    <w:rsid w:val="00A14C8D"/>
    <w:rsid w:val="00A25DC2"/>
    <w:rsid w:val="00A3163A"/>
    <w:rsid w:val="00A3352F"/>
    <w:rsid w:val="00A428C0"/>
    <w:rsid w:val="00A51180"/>
    <w:rsid w:val="00A552C7"/>
    <w:rsid w:val="00A643CA"/>
    <w:rsid w:val="00A87DB1"/>
    <w:rsid w:val="00A9222D"/>
    <w:rsid w:val="00AC301F"/>
    <w:rsid w:val="00AC5110"/>
    <w:rsid w:val="00AC6934"/>
    <w:rsid w:val="00AD7B02"/>
    <w:rsid w:val="00AE0648"/>
    <w:rsid w:val="00AE3C70"/>
    <w:rsid w:val="00AE492A"/>
    <w:rsid w:val="00AF0CD3"/>
    <w:rsid w:val="00AF453E"/>
    <w:rsid w:val="00B06FA8"/>
    <w:rsid w:val="00B11F07"/>
    <w:rsid w:val="00B144DB"/>
    <w:rsid w:val="00B27573"/>
    <w:rsid w:val="00B36D83"/>
    <w:rsid w:val="00B51F4E"/>
    <w:rsid w:val="00B60F48"/>
    <w:rsid w:val="00B71709"/>
    <w:rsid w:val="00B75DE6"/>
    <w:rsid w:val="00B947BC"/>
    <w:rsid w:val="00BA12F1"/>
    <w:rsid w:val="00BB1D6F"/>
    <w:rsid w:val="00BB40D9"/>
    <w:rsid w:val="00BC7EFC"/>
    <w:rsid w:val="00BD2341"/>
    <w:rsid w:val="00BD7358"/>
    <w:rsid w:val="00BE4295"/>
    <w:rsid w:val="00BF7D65"/>
    <w:rsid w:val="00C1551D"/>
    <w:rsid w:val="00C27AEF"/>
    <w:rsid w:val="00C31086"/>
    <w:rsid w:val="00C40727"/>
    <w:rsid w:val="00C44D89"/>
    <w:rsid w:val="00C82AFE"/>
    <w:rsid w:val="00C836F5"/>
    <w:rsid w:val="00C92E28"/>
    <w:rsid w:val="00C97F40"/>
    <w:rsid w:val="00CA03BE"/>
    <w:rsid w:val="00CA6D6C"/>
    <w:rsid w:val="00CA751A"/>
    <w:rsid w:val="00CB249F"/>
    <w:rsid w:val="00CE31EF"/>
    <w:rsid w:val="00CF6F44"/>
    <w:rsid w:val="00D0751B"/>
    <w:rsid w:val="00D07783"/>
    <w:rsid w:val="00D21509"/>
    <w:rsid w:val="00D22564"/>
    <w:rsid w:val="00D22C9B"/>
    <w:rsid w:val="00D37A18"/>
    <w:rsid w:val="00D40C86"/>
    <w:rsid w:val="00D62BDF"/>
    <w:rsid w:val="00D63EBA"/>
    <w:rsid w:val="00D63F2C"/>
    <w:rsid w:val="00D85D80"/>
    <w:rsid w:val="00DA1AD3"/>
    <w:rsid w:val="00DA1F45"/>
    <w:rsid w:val="00DA3372"/>
    <w:rsid w:val="00DA4C71"/>
    <w:rsid w:val="00DB4F08"/>
    <w:rsid w:val="00DB7C84"/>
    <w:rsid w:val="00DC26AB"/>
    <w:rsid w:val="00DD0D7A"/>
    <w:rsid w:val="00DD21C5"/>
    <w:rsid w:val="00DD5043"/>
    <w:rsid w:val="00DE183F"/>
    <w:rsid w:val="00DE232B"/>
    <w:rsid w:val="00DE5273"/>
    <w:rsid w:val="00DF65BC"/>
    <w:rsid w:val="00E1051E"/>
    <w:rsid w:val="00E22BA0"/>
    <w:rsid w:val="00E353DD"/>
    <w:rsid w:val="00E36605"/>
    <w:rsid w:val="00E51AD5"/>
    <w:rsid w:val="00E56328"/>
    <w:rsid w:val="00E66EEA"/>
    <w:rsid w:val="00E92E72"/>
    <w:rsid w:val="00E931AB"/>
    <w:rsid w:val="00EA77F4"/>
    <w:rsid w:val="00ED6148"/>
    <w:rsid w:val="00ED7BFA"/>
    <w:rsid w:val="00EF00A6"/>
    <w:rsid w:val="00F320C7"/>
    <w:rsid w:val="00F34940"/>
    <w:rsid w:val="00F36EA9"/>
    <w:rsid w:val="00F57277"/>
    <w:rsid w:val="00F62839"/>
    <w:rsid w:val="00FA7FEE"/>
    <w:rsid w:val="00FB1618"/>
    <w:rsid w:val="00FB3FB4"/>
    <w:rsid w:val="00FC6329"/>
    <w:rsid w:val="00FD27FD"/>
    <w:rsid w:val="00FD62D3"/>
    <w:rsid w:val="00FE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C5C0"/>
  <w15:chartTrackingRefBased/>
  <w15:docId w15:val="{59C6D192-AA20-4891-AEFD-ECB9C19F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EF6"/>
    <w:rPr>
      <w:rFonts w:eastAsiaTheme="majorEastAsia" w:cstheme="majorBidi"/>
      <w:color w:val="272727" w:themeColor="text1" w:themeTint="D8"/>
    </w:rPr>
  </w:style>
  <w:style w:type="paragraph" w:styleId="Title">
    <w:name w:val="Title"/>
    <w:basedOn w:val="Normal"/>
    <w:next w:val="Normal"/>
    <w:link w:val="TitleChar"/>
    <w:uiPriority w:val="10"/>
    <w:qFormat/>
    <w:rsid w:val="00743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EF6"/>
    <w:pPr>
      <w:spacing w:before="160"/>
      <w:jc w:val="center"/>
    </w:pPr>
    <w:rPr>
      <w:i/>
      <w:iCs/>
      <w:color w:val="404040" w:themeColor="text1" w:themeTint="BF"/>
    </w:rPr>
  </w:style>
  <w:style w:type="character" w:customStyle="1" w:styleId="QuoteChar">
    <w:name w:val="Quote Char"/>
    <w:basedOn w:val="DefaultParagraphFont"/>
    <w:link w:val="Quote"/>
    <w:uiPriority w:val="29"/>
    <w:rsid w:val="00743EF6"/>
    <w:rPr>
      <w:i/>
      <w:iCs/>
      <w:color w:val="404040" w:themeColor="text1" w:themeTint="BF"/>
    </w:rPr>
  </w:style>
  <w:style w:type="paragraph" w:styleId="ListParagraph">
    <w:name w:val="List Paragraph"/>
    <w:basedOn w:val="Normal"/>
    <w:uiPriority w:val="34"/>
    <w:qFormat/>
    <w:rsid w:val="00743EF6"/>
    <w:pPr>
      <w:ind w:left="720"/>
      <w:contextualSpacing/>
    </w:pPr>
  </w:style>
  <w:style w:type="character" w:styleId="IntenseEmphasis">
    <w:name w:val="Intense Emphasis"/>
    <w:basedOn w:val="DefaultParagraphFont"/>
    <w:uiPriority w:val="21"/>
    <w:qFormat/>
    <w:rsid w:val="00743EF6"/>
    <w:rPr>
      <w:i/>
      <w:iCs/>
      <w:color w:val="0F4761" w:themeColor="accent1" w:themeShade="BF"/>
    </w:rPr>
  </w:style>
  <w:style w:type="paragraph" w:styleId="IntenseQuote">
    <w:name w:val="Intense Quote"/>
    <w:basedOn w:val="Normal"/>
    <w:next w:val="Normal"/>
    <w:link w:val="IntenseQuoteChar"/>
    <w:uiPriority w:val="30"/>
    <w:qFormat/>
    <w:rsid w:val="00743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EF6"/>
    <w:rPr>
      <w:i/>
      <w:iCs/>
      <w:color w:val="0F4761" w:themeColor="accent1" w:themeShade="BF"/>
    </w:rPr>
  </w:style>
  <w:style w:type="character" w:styleId="IntenseReference">
    <w:name w:val="Intense Reference"/>
    <w:basedOn w:val="DefaultParagraphFont"/>
    <w:uiPriority w:val="32"/>
    <w:qFormat/>
    <w:rsid w:val="00743EF6"/>
    <w:rPr>
      <w:b/>
      <w:bCs/>
      <w:smallCaps/>
      <w:color w:val="0F4761" w:themeColor="accent1" w:themeShade="BF"/>
      <w:spacing w:val="5"/>
    </w:rPr>
  </w:style>
  <w:style w:type="paragraph" w:styleId="Header">
    <w:name w:val="header"/>
    <w:basedOn w:val="Normal"/>
    <w:link w:val="HeaderChar"/>
    <w:uiPriority w:val="99"/>
    <w:unhideWhenUsed/>
    <w:rsid w:val="00093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5DA"/>
  </w:style>
  <w:style w:type="paragraph" w:styleId="Footer">
    <w:name w:val="footer"/>
    <w:basedOn w:val="Normal"/>
    <w:link w:val="FooterChar"/>
    <w:uiPriority w:val="99"/>
    <w:unhideWhenUsed/>
    <w:rsid w:val="00093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5DA"/>
  </w:style>
  <w:style w:type="character" w:styleId="Hyperlink">
    <w:name w:val="Hyperlink"/>
    <w:basedOn w:val="DefaultParagraphFont"/>
    <w:uiPriority w:val="99"/>
    <w:unhideWhenUsed/>
    <w:rsid w:val="00BD7358"/>
    <w:rPr>
      <w:color w:val="467886" w:themeColor="hyperlink"/>
      <w:u w:val="single"/>
    </w:rPr>
  </w:style>
  <w:style w:type="character" w:styleId="UnresolvedMention">
    <w:name w:val="Unresolved Mention"/>
    <w:basedOn w:val="DefaultParagraphFont"/>
    <w:uiPriority w:val="99"/>
    <w:semiHidden/>
    <w:unhideWhenUsed/>
    <w:rsid w:val="00BD7358"/>
    <w:rPr>
      <w:color w:val="605E5C"/>
      <w:shd w:val="clear" w:color="auto" w:fill="E1DFDD"/>
    </w:rPr>
  </w:style>
  <w:style w:type="character" w:styleId="FollowedHyperlink">
    <w:name w:val="FollowedHyperlink"/>
    <w:basedOn w:val="DefaultParagraphFont"/>
    <w:uiPriority w:val="99"/>
    <w:semiHidden/>
    <w:unhideWhenUsed/>
    <w:rsid w:val="005A6783"/>
    <w:rPr>
      <w:color w:val="96607D" w:themeColor="followedHyperlink"/>
      <w:u w:val="single"/>
    </w:rPr>
  </w:style>
  <w:style w:type="character" w:styleId="CommentReference">
    <w:name w:val="annotation reference"/>
    <w:basedOn w:val="DefaultParagraphFont"/>
    <w:uiPriority w:val="99"/>
    <w:semiHidden/>
    <w:unhideWhenUsed/>
    <w:rsid w:val="00D21509"/>
    <w:rPr>
      <w:sz w:val="16"/>
      <w:szCs w:val="16"/>
    </w:rPr>
  </w:style>
  <w:style w:type="paragraph" w:styleId="CommentText">
    <w:name w:val="annotation text"/>
    <w:basedOn w:val="Normal"/>
    <w:link w:val="CommentTextChar"/>
    <w:uiPriority w:val="99"/>
    <w:unhideWhenUsed/>
    <w:rsid w:val="00D21509"/>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D21509"/>
    <w:rPr>
      <w:rFonts w:ascii="Calibri" w:eastAsia="Calibri" w:hAnsi="Calibri" w:cs="Calibri"/>
      <w:kern w:val="0"/>
      <w:sz w:val="20"/>
      <w:szCs w:val="20"/>
      <w14:ligatures w14:val="none"/>
    </w:rPr>
  </w:style>
  <w:style w:type="paragraph" w:styleId="BodyText">
    <w:name w:val="Body Text"/>
    <w:basedOn w:val="Normal"/>
    <w:link w:val="BodyTextChar"/>
    <w:uiPriority w:val="1"/>
    <w:qFormat/>
    <w:rsid w:val="009434B1"/>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BodyTextChar">
    <w:name w:val="Body Text Char"/>
    <w:basedOn w:val="DefaultParagraphFont"/>
    <w:link w:val="BodyText"/>
    <w:uiPriority w:val="1"/>
    <w:rsid w:val="009434B1"/>
    <w:rPr>
      <w:rFonts w:ascii="Calibri" w:eastAsia="Calibri" w:hAnsi="Calibri" w:cs="Calibri"/>
      <w:kern w:val="0"/>
      <w:sz w:val="20"/>
      <w:szCs w:val="20"/>
      <w14:ligatures w14:val="none"/>
    </w:rPr>
  </w:style>
  <w:style w:type="paragraph" w:styleId="Revision">
    <w:name w:val="Revision"/>
    <w:hidden/>
    <w:uiPriority w:val="99"/>
    <w:semiHidden/>
    <w:rsid w:val="001B4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24/agency30/chapter151/section630/" TargetMode="External"/><Relationship Id="rId13" Type="http://schemas.openxmlformats.org/officeDocument/2006/relationships/hyperlink" Target="https://www.vdot.virginia.gov/media/vdotvirginiagov/doing-business/technical-guidance-and-support/land-use-and-development/land-use-permits/LUP-SB.pdf" TargetMode="External"/><Relationship Id="rId18" Type="http://schemas.openxmlformats.org/officeDocument/2006/relationships/hyperlink" Target="https://law.lis.virginia.gov/vacode/title56/chapter10.3/section56-265.1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LUP-LC.pdf" TargetMode="External"/><Relationship Id="rId17" Type="http://schemas.openxmlformats.org/officeDocument/2006/relationships/hyperlink" Target="https://law.lis.virginia.gov/vacode/title56/chapter10.3/" TargetMode="External"/><Relationship Id="rId2" Type="http://schemas.openxmlformats.org/officeDocument/2006/relationships/styles" Target="styles.xml"/><Relationship Id="rId16" Type="http://schemas.openxmlformats.org/officeDocument/2006/relationships/hyperlink" Target="https://www.vdot.virginia.gov/media/vdotvirginiagov/doing-business/technical-guidance-and-support/land-use-and-development/land-use-permits/LUP-SB.pdf" TargetMode="External"/><Relationship Id="rId20"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ot.virginia.gov/about/distric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vdot.virginia.gov/media/vdotvirginiagov/doing-business/technical-guidance-and-support/land-use-and-development/land-use-permits/LUP-LC.pdf" TargetMode="External"/><Relationship Id="rId23" Type="http://schemas.openxmlformats.org/officeDocument/2006/relationships/fontTable" Target="fontTable.xml"/><Relationship Id="rId10" Type="http://schemas.openxmlformats.org/officeDocument/2006/relationships/hyperlink" Target="https://law.lis.virginia.gov/admincode/title24/agency30/chapter151/section40/" TargetMode="External"/><Relationship Id="rId19" Type="http://schemas.openxmlformats.org/officeDocument/2006/relationships/hyperlink" Target="https://law.lis.virginia.gov/vacodepopularnames/underground-utility-damage-prevention-act/" TargetMode="External"/><Relationship Id="rId4" Type="http://schemas.openxmlformats.org/officeDocument/2006/relationships/webSettings" Target="webSettings.xml"/><Relationship Id="rId9" Type="http://schemas.openxmlformats.org/officeDocument/2006/relationships/hyperlink" Target="http://law.lis.virginia.gov/vacode/title33.2/chapter2/section33.2-210/" TargetMode="External"/><Relationship Id="rId14" Type="http://schemas.openxmlformats.org/officeDocument/2006/relationships/hyperlink" Target="https://officearchitect.virginia.edu/commonwealth-virginia-art-and-architectural-review-board-aarb"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Pollard, Brent (VDOT)</dc:creator>
  <cp:keywords/>
  <dc:description/>
  <cp:lastModifiedBy>Hofrichter, Robert W. (VDOT)</cp:lastModifiedBy>
  <cp:revision>3</cp:revision>
  <dcterms:created xsi:type="dcterms:W3CDTF">2024-11-07T14:06:00Z</dcterms:created>
  <dcterms:modified xsi:type="dcterms:W3CDTF">2024-11-07T14:08:00Z</dcterms:modified>
</cp:coreProperties>
</file>